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E0" w:rsidRPr="00B4361C" w:rsidRDefault="008F744E" w:rsidP="00425EDD">
      <w:pPr>
        <w:spacing w:beforeLines="20" w:before="72" w:afterLines="20" w:after="72" w:line="36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 xml:space="preserve">　</w:t>
      </w:r>
      <w:r w:rsidR="00575CE0" w:rsidRPr="00B4361C">
        <w:rPr>
          <w:rFonts w:hint="eastAsia"/>
          <w:b/>
          <w:snapToGrid w:val="0"/>
        </w:rPr>
        <w:t>消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費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者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委</w:t>
      </w:r>
      <w:r w:rsidR="00240F00">
        <w:rPr>
          <w:rFonts w:hint="eastAsia"/>
          <w:b/>
          <w:snapToGrid w:val="0"/>
        </w:rPr>
        <w:t xml:space="preserve"> </w:t>
      </w:r>
      <w:r w:rsidR="00575CE0" w:rsidRPr="00B4361C">
        <w:rPr>
          <w:rFonts w:hint="eastAsia"/>
          <w:b/>
          <w:snapToGrid w:val="0"/>
        </w:rPr>
        <w:t>員</w:t>
      </w:r>
      <w:r w:rsidR="00240F00">
        <w:rPr>
          <w:rFonts w:hint="eastAsia"/>
          <w:b/>
          <w:snapToGrid w:val="0"/>
        </w:rPr>
        <w:t xml:space="preserve"> </w:t>
      </w:r>
      <w:r w:rsidR="003D4469">
        <w:rPr>
          <w:rFonts w:hint="eastAsia"/>
          <w:b/>
          <w:snapToGrid w:val="0"/>
        </w:rPr>
        <w:t>會</w:t>
      </w:r>
    </w:p>
    <w:p w:rsidR="00575CE0" w:rsidRPr="00B4361C" w:rsidRDefault="00575CE0" w:rsidP="00425EDD">
      <w:pPr>
        <w:spacing w:beforeLines="20" w:before="72" w:afterLines="20" w:after="72" w:line="360" w:lineRule="atLeast"/>
        <w:jc w:val="center"/>
        <w:rPr>
          <w:b/>
          <w:snapToGrid w:val="0"/>
        </w:rPr>
      </w:pPr>
      <w:r w:rsidRPr="00B4361C">
        <w:rPr>
          <w:rFonts w:hint="eastAsia"/>
          <w:b/>
          <w:snapToGrid w:val="0"/>
        </w:rPr>
        <w:t>新聞稿</w:t>
      </w:r>
    </w:p>
    <w:p w:rsidR="00575CE0" w:rsidRPr="00B4361C" w:rsidRDefault="00BC2696" w:rsidP="00425EDD">
      <w:pPr>
        <w:spacing w:beforeLines="20" w:before="72" w:afterLines="20" w:after="72" w:line="36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18</w:t>
      </w:r>
      <w:r w:rsidR="003D4469">
        <w:rPr>
          <w:rFonts w:hint="eastAsia"/>
          <w:b/>
          <w:snapToGrid w:val="0"/>
        </w:rPr>
        <w:t>-</w:t>
      </w:r>
      <w:r w:rsidR="00482877">
        <w:rPr>
          <w:rFonts w:hint="eastAsia"/>
          <w:b/>
          <w:snapToGrid w:val="0"/>
        </w:rPr>
        <w:t>0</w:t>
      </w:r>
      <w:r w:rsidR="00E409EB">
        <w:rPr>
          <w:rFonts w:hint="eastAsia"/>
          <w:b/>
          <w:snapToGrid w:val="0"/>
        </w:rPr>
        <w:t>7</w:t>
      </w:r>
      <w:r>
        <w:rPr>
          <w:rFonts w:hint="eastAsia"/>
          <w:b/>
          <w:snapToGrid w:val="0"/>
        </w:rPr>
        <w:t>-2017</w:t>
      </w:r>
    </w:p>
    <w:p w:rsidR="00575CE0" w:rsidRPr="00B4361C" w:rsidRDefault="00575CE0" w:rsidP="00425EDD">
      <w:pPr>
        <w:spacing w:beforeLines="20" w:before="72" w:afterLines="20" w:after="72" w:line="360" w:lineRule="atLeast"/>
        <w:jc w:val="center"/>
        <w:rPr>
          <w:b/>
          <w:snapToGrid w:val="0"/>
        </w:rPr>
      </w:pPr>
    </w:p>
    <w:p w:rsidR="003D4469" w:rsidRDefault="0060329C" w:rsidP="00425EDD">
      <w:pPr>
        <w:spacing w:beforeLines="20" w:before="72" w:afterLines="20" w:after="72" w:line="36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消委會</w:t>
      </w:r>
      <w:r w:rsidR="0013290B">
        <w:rPr>
          <w:rFonts w:hint="eastAsia"/>
          <w:b/>
          <w:snapToGrid w:val="0"/>
        </w:rPr>
        <w:t>上半年處理兩千四百多宗個案</w:t>
      </w:r>
    </w:p>
    <w:p w:rsidR="00C1140C" w:rsidRDefault="000E7D72" w:rsidP="00425EDD">
      <w:pPr>
        <w:spacing w:beforeLines="20" w:before="72" w:afterLines="20" w:after="72" w:line="360" w:lineRule="atLeast"/>
        <w:jc w:val="center"/>
        <w:rPr>
          <w:b/>
          <w:snapToGrid w:val="0"/>
        </w:rPr>
      </w:pPr>
      <w:r>
        <w:rPr>
          <w:rFonts w:hint="eastAsia"/>
          <w:b/>
          <w:snapToGrid w:val="0"/>
        </w:rPr>
        <w:t>電訊服務</w:t>
      </w:r>
      <w:proofErr w:type="gramStart"/>
      <w:r>
        <w:rPr>
          <w:rFonts w:hint="eastAsia"/>
          <w:b/>
          <w:snapToGrid w:val="0"/>
        </w:rPr>
        <w:t>佔</w:t>
      </w:r>
      <w:proofErr w:type="gramEnd"/>
      <w:r>
        <w:rPr>
          <w:rFonts w:hint="eastAsia"/>
          <w:b/>
          <w:snapToGrid w:val="0"/>
        </w:rPr>
        <w:t>首位多涉及收費爭議投訴</w:t>
      </w:r>
    </w:p>
    <w:p w:rsidR="00870EA6" w:rsidRPr="0085391F" w:rsidRDefault="00870EA6" w:rsidP="00425EDD">
      <w:pPr>
        <w:spacing w:beforeLines="20" w:before="72" w:afterLines="20" w:after="72" w:line="360" w:lineRule="atLeast"/>
        <w:jc w:val="both"/>
        <w:rPr>
          <w:rFonts w:ascii="細明體" w:eastAsia="細明體" w:hAnsi="細明體"/>
        </w:rPr>
      </w:pPr>
    </w:p>
    <w:p w:rsidR="00CE5CE3" w:rsidRDefault="009D09A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 w:rsidRPr="0085391F">
        <w:rPr>
          <w:rFonts w:ascii="細明體" w:eastAsia="細明體" w:hAnsi="細明體" w:hint="eastAsia"/>
        </w:rPr>
        <w:t>消費者委員會</w:t>
      </w:r>
      <w:r w:rsidRPr="0085391F">
        <w:rPr>
          <w:rFonts w:ascii="細明體" w:eastAsia="細明體" w:hAnsi="細明體"/>
        </w:rPr>
        <w:t>2017</w:t>
      </w:r>
      <w:r w:rsidRPr="0085391F">
        <w:rPr>
          <w:rFonts w:ascii="細明體" w:eastAsia="細明體" w:hAnsi="細明體" w:hint="eastAsia"/>
        </w:rPr>
        <w:t>年上半年處理各類個案總數量共有</w:t>
      </w:r>
      <w:r w:rsidRPr="0085391F">
        <w:rPr>
          <w:rFonts w:ascii="細明體" w:eastAsia="細明體" w:hAnsi="細明體"/>
        </w:rPr>
        <w:t>2,451</w:t>
      </w:r>
      <w:r w:rsidRPr="0085391F">
        <w:rPr>
          <w:rFonts w:ascii="細明體" w:eastAsia="細明體" w:hAnsi="細明體" w:hint="eastAsia"/>
        </w:rPr>
        <w:t>宗，包括</w:t>
      </w:r>
      <w:r w:rsidRPr="0085391F">
        <w:rPr>
          <w:rFonts w:ascii="細明體" w:eastAsia="細明體" w:hAnsi="細明體"/>
        </w:rPr>
        <w:t>761</w:t>
      </w:r>
      <w:r w:rsidRPr="0085391F">
        <w:rPr>
          <w:rFonts w:ascii="細明體" w:eastAsia="細明體" w:hAnsi="細明體" w:hint="eastAsia"/>
        </w:rPr>
        <w:t>宗的投訴個案，查詢及建議個案分</w:t>
      </w:r>
      <w:r w:rsidR="0007081A">
        <w:rPr>
          <w:rFonts w:ascii="細明體" w:eastAsia="細明體" w:hAnsi="細明體" w:hint="eastAsia"/>
        </w:rPr>
        <w:t>別</w:t>
      </w:r>
      <w:r w:rsidRPr="0085391F">
        <w:rPr>
          <w:rFonts w:ascii="細明體" w:eastAsia="細明體" w:hAnsi="細明體" w:hint="eastAsia"/>
        </w:rPr>
        <w:t>有</w:t>
      </w:r>
      <w:r w:rsidRPr="0085391F">
        <w:rPr>
          <w:rFonts w:ascii="細明體" w:eastAsia="細明體" w:hAnsi="細明體"/>
        </w:rPr>
        <w:t>1,677</w:t>
      </w:r>
      <w:r w:rsidRPr="0085391F">
        <w:rPr>
          <w:rFonts w:ascii="細明體" w:eastAsia="細明體" w:hAnsi="細明體" w:hint="eastAsia"/>
        </w:rPr>
        <w:t>宗及</w:t>
      </w:r>
      <w:r w:rsidRPr="0085391F">
        <w:rPr>
          <w:rFonts w:ascii="細明體" w:eastAsia="細明體" w:hAnsi="細明體"/>
        </w:rPr>
        <w:t>13</w:t>
      </w:r>
      <w:r w:rsidRPr="0085391F">
        <w:rPr>
          <w:rFonts w:ascii="細明體" w:eastAsia="細明體" w:hAnsi="細明體" w:hint="eastAsia"/>
        </w:rPr>
        <w:t>宗。</w:t>
      </w:r>
      <w:r w:rsidR="00C1140C" w:rsidRPr="0085391F">
        <w:rPr>
          <w:rFonts w:ascii="細明體" w:eastAsia="細明體" w:hAnsi="細明體"/>
        </w:rPr>
        <w:t xml:space="preserve"> </w:t>
      </w:r>
    </w:p>
    <w:p w:rsidR="007742A9" w:rsidRPr="007742A9" w:rsidRDefault="007742A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  <w:b/>
        </w:rPr>
      </w:pPr>
      <w:r w:rsidRPr="007742A9">
        <w:rPr>
          <w:rFonts w:ascii="細明體" w:eastAsia="細明體" w:hAnsi="細明體" w:hint="eastAsia"/>
          <w:b/>
        </w:rPr>
        <w:t>首五位投訴個案共計三百宗</w:t>
      </w:r>
    </w:p>
    <w:p w:rsidR="0061392A" w:rsidRPr="0085391F" w:rsidRDefault="00E21A34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首五位</w:t>
      </w:r>
      <w:r w:rsidR="009D09A9" w:rsidRPr="0085391F">
        <w:rPr>
          <w:rFonts w:ascii="細明體" w:eastAsia="細明體" w:hAnsi="細明體" w:hint="eastAsia"/>
        </w:rPr>
        <w:t>最多投訴</w:t>
      </w:r>
      <w:r w:rsidR="0007081A">
        <w:rPr>
          <w:rFonts w:ascii="細明體" w:eastAsia="細明體" w:hAnsi="細明體" w:hint="eastAsia"/>
        </w:rPr>
        <w:t>個案</w:t>
      </w:r>
      <w:r w:rsidR="0085391F" w:rsidRPr="0085391F">
        <w:rPr>
          <w:rFonts w:ascii="細明體" w:eastAsia="細明體" w:hAnsi="細明體" w:hint="eastAsia"/>
        </w:rPr>
        <w:t>數量的</w:t>
      </w:r>
      <w:r>
        <w:rPr>
          <w:rFonts w:ascii="細明體" w:eastAsia="細明體" w:hAnsi="細明體" w:hint="eastAsia"/>
        </w:rPr>
        <w:t>項目</w:t>
      </w:r>
      <w:r w:rsidR="009D09A9" w:rsidRPr="0085391F">
        <w:rPr>
          <w:rFonts w:ascii="細明體" w:eastAsia="細明體" w:hAnsi="細明體" w:hint="eastAsia"/>
        </w:rPr>
        <w:t>依次是電訊服務</w:t>
      </w:r>
      <w:r w:rsidR="009D09A9" w:rsidRPr="0085391F">
        <w:rPr>
          <w:rFonts w:ascii="細明體" w:eastAsia="細明體" w:hAnsi="細明體"/>
        </w:rPr>
        <w:t>(76</w:t>
      </w:r>
      <w:r w:rsidR="009D09A9" w:rsidRPr="0085391F">
        <w:rPr>
          <w:rFonts w:ascii="細明體" w:eastAsia="細明體" w:hAnsi="細明體" w:hint="eastAsia"/>
        </w:rPr>
        <w:t>宗</w:t>
      </w:r>
      <w:r w:rsidR="009D09A9" w:rsidRPr="0085391F">
        <w:rPr>
          <w:rFonts w:ascii="細明體" w:eastAsia="細明體" w:hAnsi="細明體"/>
        </w:rPr>
        <w:t>)</w:t>
      </w:r>
      <w:r w:rsidR="009D09A9" w:rsidRPr="0085391F">
        <w:rPr>
          <w:rFonts w:ascii="細明體" w:eastAsia="細明體" w:hAnsi="細明體" w:hint="eastAsia"/>
        </w:rPr>
        <w:t>、通訊器材</w:t>
      </w:r>
      <w:r w:rsidR="009D09A9" w:rsidRPr="0085391F">
        <w:rPr>
          <w:rFonts w:ascii="細明體" w:eastAsia="細明體" w:hAnsi="細明體"/>
        </w:rPr>
        <w:t>(63</w:t>
      </w:r>
      <w:r w:rsidR="009D09A9" w:rsidRPr="0085391F">
        <w:rPr>
          <w:rFonts w:ascii="細明體" w:eastAsia="細明體" w:hAnsi="細明體" w:hint="eastAsia"/>
        </w:rPr>
        <w:t>宗</w:t>
      </w:r>
      <w:r w:rsidR="009D09A9" w:rsidRPr="0085391F">
        <w:rPr>
          <w:rFonts w:ascii="細明體" w:eastAsia="細明體" w:hAnsi="細明體"/>
        </w:rPr>
        <w:t>)</w:t>
      </w:r>
      <w:r w:rsidR="009D09A9" w:rsidRPr="0085391F">
        <w:rPr>
          <w:rFonts w:ascii="細明體" w:eastAsia="細明體" w:hAnsi="細明體" w:hint="eastAsia"/>
        </w:rPr>
        <w:t>、公共交通</w:t>
      </w:r>
      <w:r w:rsidR="009D09A9" w:rsidRPr="0085391F">
        <w:rPr>
          <w:rFonts w:ascii="細明體" w:eastAsia="細明體" w:hAnsi="細明體"/>
        </w:rPr>
        <w:t>(59</w:t>
      </w:r>
      <w:r w:rsidR="009D09A9" w:rsidRPr="0085391F">
        <w:rPr>
          <w:rFonts w:ascii="細明體" w:eastAsia="細明體" w:hAnsi="細明體" w:hint="eastAsia"/>
        </w:rPr>
        <w:t>宗</w:t>
      </w:r>
      <w:r w:rsidR="009D09A9" w:rsidRPr="0085391F">
        <w:rPr>
          <w:rFonts w:ascii="細明體" w:eastAsia="細明體" w:hAnsi="細明體"/>
        </w:rPr>
        <w:t>)</w:t>
      </w:r>
      <w:r w:rsidR="009D09A9" w:rsidRPr="0085391F">
        <w:rPr>
          <w:rFonts w:ascii="細明體" w:eastAsia="細明體" w:hAnsi="細明體" w:hint="eastAsia"/>
        </w:rPr>
        <w:t>、珠寶首飾</w:t>
      </w:r>
      <w:r w:rsidR="009D09A9" w:rsidRPr="0085391F">
        <w:rPr>
          <w:rFonts w:ascii="細明體" w:eastAsia="細明體" w:hAnsi="細明體"/>
        </w:rPr>
        <w:t>(54</w:t>
      </w:r>
      <w:r w:rsidR="009D09A9" w:rsidRPr="0085391F">
        <w:rPr>
          <w:rFonts w:ascii="細明體" w:eastAsia="細明體" w:hAnsi="細明體" w:hint="eastAsia"/>
        </w:rPr>
        <w:t>宗</w:t>
      </w:r>
      <w:r w:rsidR="009D09A9" w:rsidRPr="0085391F">
        <w:rPr>
          <w:rFonts w:ascii="細明體" w:eastAsia="細明體" w:hAnsi="細明體"/>
        </w:rPr>
        <w:t>)</w:t>
      </w:r>
      <w:r w:rsidR="009D09A9" w:rsidRPr="0085391F">
        <w:rPr>
          <w:rFonts w:ascii="細明體" w:eastAsia="細明體" w:hAnsi="細明體" w:hint="eastAsia"/>
        </w:rPr>
        <w:t>及電器用品</w:t>
      </w:r>
      <w:r w:rsidR="009D09A9" w:rsidRPr="0085391F">
        <w:rPr>
          <w:rFonts w:ascii="細明體" w:eastAsia="細明體" w:hAnsi="細明體"/>
        </w:rPr>
        <w:t>(48</w:t>
      </w:r>
      <w:r w:rsidR="009D09A9" w:rsidRPr="0085391F">
        <w:rPr>
          <w:rFonts w:ascii="細明體" w:eastAsia="細明體" w:hAnsi="細明體" w:hint="eastAsia"/>
        </w:rPr>
        <w:t>宗</w:t>
      </w:r>
      <w:r w:rsidR="009D09A9" w:rsidRPr="0085391F">
        <w:rPr>
          <w:rFonts w:ascii="細明體" w:eastAsia="細明體" w:hAnsi="細明體"/>
        </w:rPr>
        <w:t>)</w:t>
      </w:r>
      <w:r w:rsidR="009D09A9" w:rsidRPr="0085391F">
        <w:rPr>
          <w:rFonts w:ascii="細明體" w:eastAsia="細明體" w:hAnsi="細明體" w:hint="eastAsia"/>
        </w:rPr>
        <w:t>，以上個案數量約</w:t>
      </w:r>
      <w:proofErr w:type="gramStart"/>
      <w:r w:rsidR="009D09A9" w:rsidRPr="0085391F">
        <w:rPr>
          <w:rFonts w:ascii="細明體" w:eastAsia="細明體" w:hAnsi="細明體" w:hint="eastAsia"/>
        </w:rPr>
        <w:t>佔</w:t>
      </w:r>
      <w:proofErr w:type="gramEnd"/>
      <w:r w:rsidR="009D09A9" w:rsidRPr="0085391F">
        <w:rPr>
          <w:rFonts w:ascii="細明體" w:eastAsia="細明體" w:hAnsi="細明體" w:hint="eastAsia"/>
        </w:rPr>
        <w:t>上半年投訴個案總數的四成。</w:t>
      </w:r>
    </w:p>
    <w:p w:rsidR="0061392A" w:rsidRPr="0085391F" w:rsidRDefault="0007081A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電訊服務中</w:t>
      </w:r>
      <w:r w:rsidR="009D09A9" w:rsidRPr="0085391F">
        <w:rPr>
          <w:rFonts w:ascii="細明體" w:eastAsia="細明體" w:hAnsi="細明體" w:hint="eastAsia"/>
        </w:rPr>
        <w:t>約四成是關於月費計劃與漫遊數據等收費的爭議個案，服務質素的投訴個案就有三成半，</w:t>
      </w:r>
      <w:proofErr w:type="gramStart"/>
      <w:r w:rsidR="009D09A9" w:rsidRPr="0085391F">
        <w:rPr>
          <w:rFonts w:ascii="細明體" w:eastAsia="細明體" w:hAnsi="細明體" w:hint="eastAsia"/>
        </w:rPr>
        <w:t>佔了該個項目</w:t>
      </w:r>
      <w:proofErr w:type="gramEnd"/>
      <w:r w:rsidR="009D09A9" w:rsidRPr="0085391F">
        <w:rPr>
          <w:rFonts w:ascii="細明體" w:eastAsia="細明體" w:hAnsi="細明體" w:hint="eastAsia"/>
        </w:rPr>
        <w:t>投訴個案的七成半數量。</w:t>
      </w:r>
    </w:p>
    <w:p w:rsidR="008767E0" w:rsidRPr="0085391F" w:rsidRDefault="009D09A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 w:rsidRPr="0085391F">
        <w:rPr>
          <w:rFonts w:ascii="細明體" w:eastAsia="細明體" w:hAnsi="細明體" w:hint="eastAsia"/>
        </w:rPr>
        <w:t>通訊器材主要集中在手機質素與售後服務的問題，這類投訴個案共有</w:t>
      </w:r>
      <w:r w:rsidRPr="0085391F">
        <w:rPr>
          <w:rFonts w:ascii="細明體" w:eastAsia="細明體" w:hAnsi="細明體"/>
        </w:rPr>
        <w:t>40</w:t>
      </w:r>
      <w:r w:rsidRPr="0085391F">
        <w:rPr>
          <w:rFonts w:ascii="細明體" w:eastAsia="細明體" w:hAnsi="細明體" w:hint="eastAsia"/>
        </w:rPr>
        <w:t>宗。</w:t>
      </w:r>
    </w:p>
    <w:p w:rsidR="007742A9" w:rsidRPr="00E21A34" w:rsidRDefault="009D09A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 w:rsidRPr="0085391F">
        <w:rPr>
          <w:rFonts w:ascii="細明體" w:eastAsia="細明體" w:hAnsi="細明體" w:hint="eastAsia"/>
        </w:rPr>
        <w:t>公共交通方面接近六成是投訴的士</w:t>
      </w:r>
      <w:proofErr w:type="gramStart"/>
      <w:r w:rsidRPr="0085391F">
        <w:rPr>
          <w:rFonts w:ascii="細明體" w:eastAsia="細明體" w:hAnsi="細明體" w:hint="eastAsia"/>
        </w:rPr>
        <w:t>司機濫收車資</w:t>
      </w:r>
      <w:proofErr w:type="gramEnd"/>
      <w:r w:rsidRPr="0085391F">
        <w:rPr>
          <w:rFonts w:ascii="細明體" w:eastAsia="細明體" w:hAnsi="細明體" w:hint="eastAsia"/>
        </w:rPr>
        <w:t>與服務質素，</w:t>
      </w:r>
      <w:r w:rsidR="00E21A34">
        <w:rPr>
          <w:rFonts w:ascii="細明體" w:eastAsia="細明體" w:hAnsi="細明體" w:hint="eastAsia"/>
        </w:rPr>
        <w:t>而珠寶首飾</w:t>
      </w:r>
      <w:r w:rsidR="003F45D2">
        <w:rPr>
          <w:rFonts w:ascii="細明體" w:eastAsia="細明體" w:hAnsi="細明體" w:hint="eastAsia"/>
        </w:rPr>
        <w:t>投訴個案中，</w:t>
      </w:r>
      <w:r w:rsidR="00E21A34">
        <w:rPr>
          <w:rFonts w:ascii="細明體" w:eastAsia="細明體" w:hAnsi="細明體" w:hint="eastAsia"/>
        </w:rPr>
        <w:t>就</w:t>
      </w:r>
      <w:r w:rsidR="000319B9">
        <w:rPr>
          <w:rFonts w:ascii="細明體" w:eastAsia="細明體" w:hAnsi="細明體" w:hint="eastAsia"/>
        </w:rPr>
        <w:t>消費者購買非足金成色首飾時引致的</w:t>
      </w:r>
      <w:r w:rsidR="00E21A34">
        <w:rPr>
          <w:rFonts w:ascii="細明體" w:eastAsia="細明體" w:hAnsi="細明體" w:hint="eastAsia"/>
        </w:rPr>
        <w:t>格價爭議</w:t>
      </w:r>
      <w:r w:rsidRPr="00E21A34">
        <w:rPr>
          <w:rFonts w:ascii="細明體" w:eastAsia="細明體" w:hAnsi="細明體" w:hint="eastAsia"/>
        </w:rPr>
        <w:t>有增加的情況。</w:t>
      </w:r>
    </w:p>
    <w:p w:rsidR="00425EDD" w:rsidRPr="00E21A34" w:rsidRDefault="00425EDD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  <w:b/>
        </w:rPr>
      </w:pPr>
      <w:r w:rsidRPr="00E21A34">
        <w:rPr>
          <w:rFonts w:ascii="細明體" w:eastAsia="細明體" w:hAnsi="細明體" w:hint="eastAsia"/>
          <w:b/>
        </w:rPr>
        <w:t>購買非足金首飾注意</w:t>
      </w:r>
      <w:r w:rsidR="0007081A">
        <w:rPr>
          <w:rFonts w:ascii="細明體" w:eastAsia="細明體" w:hAnsi="細明體" w:hint="eastAsia"/>
          <w:b/>
        </w:rPr>
        <w:t>黃金</w:t>
      </w:r>
      <w:r w:rsidRPr="00E21A34">
        <w:rPr>
          <w:rFonts w:ascii="細明體" w:eastAsia="細明體" w:hAnsi="細明體" w:hint="eastAsia"/>
          <w:b/>
        </w:rPr>
        <w:t>含量與實際價值</w:t>
      </w:r>
    </w:p>
    <w:p w:rsidR="009D09A9" w:rsidRPr="00E21A34" w:rsidRDefault="009D09A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 w:rsidRPr="00E21A34">
        <w:rPr>
          <w:rFonts w:ascii="細明體" w:eastAsia="細明體" w:hAnsi="細明體" w:hint="eastAsia"/>
        </w:rPr>
        <w:t>消委會指出，</w:t>
      </w:r>
      <w:proofErr w:type="gramStart"/>
      <w:r w:rsidRPr="00E21A34">
        <w:rPr>
          <w:rFonts w:ascii="細明體" w:eastAsia="細明體" w:hAnsi="細明體" w:hint="eastAsia"/>
        </w:rPr>
        <w:t>根據本澳相關</w:t>
      </w:r>
      <w:proofErr w:type="gramEnd"/>
      <w:r w:rsidRPr="00E21A34">
        <w:rPr>
          <w:rFonts w:ascii="細明體" w:eastAsia="細明體" w:hAnsi="細明體" w:hint="eastAsia"/>
        </w:rPr>
        <w:t>法例，足金金飾的黃金含量純度不得少於千分之</w:t>
      </w:r>
      <w:r w:rsidRPr="00E21A34">
        <w:rPr>
          <w:rFonts w:ascii="細明體" w:eastAsia="細明體" w:hAnsi="細明體"/>
        </w:rPr>
        <w:t>990</w:t>
      </w:r>
      <w:r w:rsidR="00E21A34">
        <w:rPr>
          <w:rFonts w:ascii="細明體" w:eastAsia="細明體" w:hAnsi="細明體" w:hint="eastAsia"/>
        </w:rPr>
        <w:t>，商號在售賣低</w:t>
      </w:r>
      <w:r w:rsidRPr="00E21A34">
        <w:rPr>
          <w:rFonts w:ascii="細明體" w:eastAsia="細明體" w:hAnsi="細明體" w:hint="eastAsia"/>
        </w:rPr>
        <w:t>於以上</w:t>
      </w:r>
      <w:r w:rsidR="0007081A">
        <w:rPr>
          <w:rFonts w:ascii="細明體" w:eastAsia="細明體" w:hAnsi="細明體" w:hint="eastAsia"/>
        </w:rPr>
        <w:t>黃金</w:t>
      </w:r>
      <w:r w:rsidRPr="00E21A34">
        <w:rPr>
          <w:rFonts w:ascii="細明體" w:eastAsia="細明體" w:hAnsi="細明體" w:hint="eastAsia"/>
        </w:rPr>
        <w:t>含量</w:t>
      </w:r>
      <w:r w:rsidR="00CC1ED4">
        <w:rPr>
          <w:rFonts w:ascii="細明體" w:eastAsia="細明體" w:hAnsi="細明體" w:hint="eastAsia"/>
        </w:rPr>
        <w:t>純度的</w:t>
      </w:r>
      <w:r w:rsidRPr="00E21A34">
        <w:rPr>
          <w:rFonts w:ascii="細明體" w:eastAsia="細明體" w:hAnsi="細明體" w:hint="eastAsia"/>
        </w:rPr>
        <w:t>首飾時，</w:t>
      </w:r>
      <w:r w:rsidR="00F2182E" w:rsidRPr="00E21A34">
        <w:rPr>
          <w:rFonts w:ascii="細明體" w:eastAsia="細明體" w:hAnsi="細明體" w:hint="eastAsia"/>
        </w:rPr>
        <w:t>例如“18K金”或更低</w:t>
      </w:r>
      <w:r w:rsidR="000319B9">
        <w:rPr>
          <w:rFonts w:ascii="細明體" w:eastAsia="細明體" w:hAnsi="細明體" w:hint="eastAsia"/>
        </w:rPr>
        <w:t>的黃金</w:t>
      </w:r>
      <w:r w:rsidR="000319B9" w:rsidRPr="000319B9">
        <w:rPr>
          <w:rFonts w:ascii="細明體" w:eastAsia="細明體" w:hAnsi="細明體" w:hint="eastAsia"/>
        </w:rPr>
        <w:t>含量純度</w:t>
      </w:r>
      <w:r w:rsidR="00F2182E" w:rsidRPr="00E21A34">
        <w:rPr>
          <w:rFonts w:ascii="細明體" w:eastAsia="細明體" w:hAnsi="細明體" w:hint="eastAsia"/>
        </w:rPr>
        <w:t>的首飾</w:t>
      </w:r>
      <w:r w:rsidR="00E21A34">
        <w:rPr>
          <w:rFonts w:ascii="細明體" w:eastAsia="細明體" w:hAnsi="細明體" w:hint="eastAsia"/>
        </w:rPr>
        <w:t>時</w:t>
      </w:r>
      <w:r w:rsidR="00F2182E" w:rsidRPr="00E21A34">
        <w:rPr>
          <w:rFonts w:ascii="細明體" w:eastAsia="細明體" w:hAnsi="細明體" w:hint="eastAsia"/>
        </w:rPr>
        <w:t>，</w:t>
      </w:r>
      <w:r w:rsidRPr="00E21A34">
        <w:rPr>
          <w:rFonts w:ascii="細明體" w:eastAsia="細明體" w:hAnsi="細明體" w:hint="eastAsia"/>
        </w:rPr>
        <w:t>通常不</w:t>
      </w:r>
      <w:r w:rsidR="00F2182E" w:rsidRPr="00E21A34">
        <w:rPr>
          <w:rFonts w:ascii="細明體" w:eastAsia="細明體" w:hAnsi="細明體" w:hint="eastAsia"/>
        </w:rPr>
        <w:t>會</w:t>
      </w:r>
      <w:r w:rsidRPr="00E21A34">
        <w:rPr>
          <w:rFonts w:ascii="細明體" w:eastAsia="細明體" w:hAnsi="細明體" w:hint="eastAsia"/>
        </w:rPr>
        <w:t>以當天飾金牌價計算金飾的售價，而是以</w:t>
      </w:r>
      <w:r w:rsidR="00E21A34">
        <w:rPr>
          <w:rFonts w:ascii="細明體" w:eastAsia="細明體" w:hAnsi="細明體" w:hint="eastAsia"/>
        </w:rPr>
        <w:t>一個</w:t>
      </w:r>
      <w:r w:rsidR="000319B9">
        <w:rPr>
          <w:rFonts w:ascii="細明體" w:eastAsia="細明體" w:hAnsi="細明體" w:hint="eastAsia"/>
        </w:rPr>
        <w:t>“定</w:t>
      </w:r>
      <w:bookmarkStart w:id="0" w:name="_GoBack"/>
      <w:bookmarkEnd w:id="0"/>
      <w:r w:rsidR="000319B9">
        <w:rPr>
          <w:rFonts w:ascii="細明體" w:eastAsia="細明體" w:hAnsi="細明體" w:hint="eastAsia"/>
        </w:rPr>
        <w:t>價”的形式出售，為此，消委會建議消費者選購非足金黃金</w:t>
      </w:r>
      <w:r w:rsidRPr="00E21A34">
        <w:rPr>
          <w:rFonts w:ascii="細明體" w:eastAsia="細明體" w:hAnsi="細明體" w:hint="eastAsia"/>
        </w:rPr>
        <w:t>首飾時要考慮</w:t>
      </w:r>
      <w:r w:rsidR="00E21A34">
        <w:rPr>
          <w:rFonts w:ascii="細明體" w:eastAsia="細明體" w:hAnsi="細明體" w:hint="eastAsia"/>
        </w:rPr>
        <w:t>其</w:t>
      </w:r>
      <w:r w:rsidR="0007081A">
        <w:rPr>
          <w:rFonts w:ascii="細明體" w:eastAsia="細明體" w:hAnsi="細明體" w:hint="eastAsia"/>
        </w:rPr>
        <w:t>黃金</w:t>
      </w:r>
      <w:r w:rsidRPr="00E21A34">
        <w:rPr>
          <w:rFonts w:ascii="細明體" w:eastAsia="細明體" w:hAnsi="細明體" w:hint="eastAsia"/>
        </w:rPr>
        <w:t>含量</w:t>
      </w:r>
      <w:r w:rsidR="00CC1ED4" w:rsidRPr="00E21A34">
        <w:rPr>
          <w:rFonts w:ascii="細明體" w:eastAsia="細明體" w:hAnsi="細明體" w:hint="eastAsia"/>
        </w:rPr>
        <w:t>的</w:t>
      </w:r>
      <w:r w:rsidR="000319B9">
        <w:rPr>
          <w:rFonts w:ascii="細明體" w:eastAsia="細明體" w:hAnsi="細明體" w:hint="eastAsia"/>
        </w:rPr>
        <w:t>純度</w:t>
      </w:r>
      <w:r w:rsidRPr="00E21A34">
        <w:rPr>
          <w:rFonts w:ascii="細明體" w:eastAsia="細明體" w:hAnsi="細明體" w:hint="eastAsia"/>
        </w:rPr>
        <w:t>與</w:t>
      </w:r>
      <w:r w:rsidR="008A150C" w:rsidRPr="00E21A34">
        <w:rPr>
          <w:rFonts w:ascii="細明體" w:eastAsia="細明體" w:hAnsi="細明體" w:hint="eastAsia"/>
        </w:rPr>
        <w:t>其</w:t>
      </w:r>
      <w:r w:rsidR="0085391F" w:rsidRPr="00E21A34">
        <w:rPr>
          <w:rFonts w:ascii="細明體" w:eastAsia="細明體" w:hAnsi="細明體" w:hint="eastAsia"/>
        </w:rPr>
        <w:t>實際</w:t>
      </w:r>
      <w:r w:rsidRPr="00E21A34">
        <w:rPr>
          <w:rFonts w:ascii="細明體" w:eastAsia="細明體" w:hAnsi="細明體" w:hint="eastAsia"/>
        </w:rPr>
        <w:t>價值，而商號必須</w:t>
      </w:r>
      <w:proofErr w:type="gramStart"/>
      <w:r w:rsidRPr="00E21A34">
        <w:rPr>
          <w:rFonts w:ascii="細明體" w:eastAsia="細明體" w:hAnsi="細明體" w:hint="eastAsia"/>
        </w:rPr>
        <w:t>按照第</w:t>
      </w:r>
      <w:r w:rsidRPr="00E21A34">
        <w:rPr>
          <w:rFonts w:ascii="細明體" w:eastAsia="細明體" w:hAnsi="細明體"/>
        </w:rPr>
        <w:t>1</w:t>
      </w:r>
      <w:proofErr w:type="gramEnd"/>
      <w:r w:rsidRPr="00E21A34">
        <w:rPr>
          <w:rFonts w:ascii="細明體" w:eastAsia="細明體" w:hAnsi="細明體"/>
        </w:rPr>
        <w:t>/2003</w:t>
      </w:r>
      <w:r w:rsidR="00896DFF">
        <w:rPr>
          <w:rFonts w:ascii="細明體" w:eastAsia="細明體" w:hAnsi="細明體" w:hint="eastAsia"/>
        </w:rPr>
        <w:t>號法律《</w:t>
      </w:r>
      <w:r w:rsidRPr="00E21A34">
        <w:rPr>
          <w:rFonts w:ascii="細明體" w:eastAsia="細明體" w:hAnsi="細明體" w:hint="eastAsia"/>
        </w:rPr>
        <w:t>黃金商品化法律》規定如實標示黃金首飾的黃金含量純度及</w:t>
      </w:r>
      <w:r w:rsidR="00E21A34">
        <w:rPr>
          <w:rFonts w:ascii="細明體" w:eastAsia="細明體" w:hAnsi="細明體" w:hint="eastAsia"/>
        </w:rPr>
        <w:t>須</w:t>
      </w:r>
      <w:r w:rsidRPr="00E21A34">
        <w:rPr>
          <w:rFonts w:ascii="細明體" w:eastAsia="細明體" w:hAnsi="細明體" w:hint="eastAsia"/>
        </w:rPr>
        <w:t>標</w:t>
      </w:r>
      <w:proofErr w:type="gramStart"/>
      <w:r w:rsidRPr="00E21A34">
        <w:rPr>
          <w:rFonts w:ascii="細明體" w:eastAsia="細明體" w:hAnsi="細明體" w:hint="eastAsia"/>
        </w:rPr>
        <w:t>註</w:t>
      </w:r>
      <w:proofErr w:type="gramEnd"/>
      <w:r w:rsidRPr="00E21A34">
        <w:rPr>
          <w:rFonts w:ascii="細明體" w:eastAsia="細明體" w:hAnsi="細明體" w:hint="eastAsia"/>
        </w:rPr>
        <w:t>在單據內，</w:t>
      </w:r>
      <w:r w:rsidR="00E21A34">
        <w:rPr>
          <w:rFonts w:ascii="細明體" w:eastAsia="細明體" w:hAnsi="細明體" w:hint="eastAsia"/>
        </w:rPr>
        <w:t>同時，應標示</w:t>
      </w:r>
      <w:r w:rsidR="0007081A">
        <w:rPr>
          <w:rFonts w:ascii="細明體" w:eastAsia="細明體" w:hAnsi="細明體" w:hint="eastAsia"/>
        </w:rPr>
        <w:t>及說明</w:t>
      </w:r>
      <w:r w:rsidRPr="00E21A34">
        <w:rPr>
          <w:rFonts w:ascii="細明體" w:eastAsia="細明體" w:hAnsi="細明體" w:hint="eastAsia"/>
        </w:rPr>
        <w:t>是</w:t>
      </w:r>
      <w:r w:rsidR="0085391F" w:rsidRPr="00E21A34">
        <w:rPr>
          <w:rFonts w:ascii="細明體" w:eastAsia="細明體" w:hAnsi="細明體" w:hint="eastAsia"/>
        </w:rPr>
        <w:t>否有</w:t>
      </w:r>
      <w:r w:rsidR="008A150C" w:rsidRPr="00E21A34">
        <w:rPr>
          <w:rFonts w:ascii="細明體" w:eastAsia="細明體" w:hAnsi="細明體" w:hint="eastAsia"/>
        </w:rPr>
        <w:t>接受</w:t>
      </w:r>
      <w:r w:rsidR="0007081A">
        <w:rPr>
          <w:rFonts w:ascii="細明體" w:eastAsia="細明體" w:hAnsi="細明體" w:hint="eastAsia"/>
        </w:rPr>
        <w:t>回收非足金</w:t>
      </w:r>
      <w:r w:rsidRPr="00E21A34">
        <w:rPr>
          <w:rFonts w:ascii="細明體" w:eastAsia="細明體" w:hAnsi="細明體" w:hint="eastAsia"/>
        </w:rPr>
        <w:t>首飾</w:t>
      </w:r>
      <w:r w:rsidR="008A150C" w:rsidRPr="00E21A34">
        <w:rPr>
          <w:rFonts w:ascii="細明體" w:eastAsia="細明體" w:hAnsi="細明體" w:hint="eastAsia"/>
        </w:rPr>
        <w:t>的做法</w:t>
      </w:r>
      <w:r w:rsidRPr="00E21A34">
        <w:rPr>
          <w:rFonts w:ascii="細明體" w:eastAsia="細明體" w:hAnsi="細明體" w:hint="eastAsia"/>
        </w:rPr>
        <w:t>。</w:t>
      </w:r>
    </w:p>
    <w:p w:rsidR="007742A9" w:rsidRPr="007742A9" w:rsidRDefault="007742A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  <w:b/>
        </w:rPr>
      </w:pPr>
      <w:r w:rsidRPr="007742A9">
        <w:rPr>
          <w:rFonts w:ascii="細明體" w:eastAsia="細明體" w:hAnsi="細明體" w:hint="eastAsia"/>
          <w:b/>
        </w:rPr>
        <w:t>上半年</w:t>
      </w:r>
      <w:r>
        <w:rPr>
          <w:rFonts w:ascii="細明體" w:eastAsia="細明體" w:hAnsi="細明體" w:hint="eastAsia"/>
          <w:b/>
        </w:rPr>
        <w:t>沒</w:t>
      </w:r>
      <w:r w:rsidRPr="007742A9">
        <w:rPr>
          <w:rFonts w:ascii="細明體" w:eastAsia="細明體" w:hAnsi="細明體" w:hint="eastAsia"/>
          <w:b/>
        </w:rPr>
        <w:t>有接獲居民在內地置業</w:t>
      </w:r>
      <w:r w:rsidR="00E21A34">
        <w:rPr>
          <w:rFonts w:ascii="細明體" w:eastAsia="細明體" w:hAnsi="細明體" w:hint="eastAsia"/>
          <w:b/>
        </w:rPr>
        <w:t>的</w:t>
      </w:r>
      <w:r w:rsidRPr="007742A9">
        <w:rPr>
          <w:rFonts w:ascii="細明體" w:eastAsia="細明體" w:hAnsi="細明體" w:hint="eastAsia"/>
          <w:b/>
        </w:rPr>
        <w:t>投訴個案</w:t>
      </w:r>
    </w:p>
    <w:p w:rsidR="009D09A9" w:rsidRDefault="008A150C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 w:rsidRPr="0085391F">
        <w:rPr>
          <w:rFonts w:ascii="細明體" w:eastAsia="細明體" w:hAnsi="細明體" w:hint="eastAsia"/>
        </w:rPr>
        <w:t>至於與房地產有關投訴個案</w:t>
      </w:r>
      <w:r w:rsidR="00E21A34">
        <w:rPr>
          <w:rFonts w:ascii="細明體" w:eastAsia="細明體" w:hAnsi="細明體" w:hint="eastAsia"/>
        </w:rPr>
        <w:t>，</w:t>
      </w:r>
      <w:r w:rsidR="00E21A34" w:rsidRPr="00E21A34">
        <w:rPr>
          <w:rFonts w:ascii="細明體" w:eastAsia="細明體" w:hAnsi="細明體" w:hint="eastAsia"/>
        </w:rPr>
        <w:t>2017年上半年</w:t>
      </w:r>
      <w:r w:rsidRPr="0085391F">
        <w:rPr>
          <w:rFonts w:ascii="細明體" w:eastAsia="細明體" w:hAnsi="細明體" w:hint="eastAsia"/>
        </w:rPr>
        <w:t>比2016</w:t>
      </w:r>
      <w:r w:rsidR="00E21A34">
        <w:rPr>
          <w:rFonts w:ascii="細明體" w:eastAsia="細明體" w:hAnsi="細明體" w:hint="eastAsia"/>
        </w:rPr>
        <w:t>年同期減接近九成，這與消委會加強與內地，尤其毗鄰省市</w:t>
      </w:r>
      <w:r w:rsidRPr="0085391F">
        <w:rPr>
          <w:rFonts w:ascii="細明體" w:eastAsia="細明體" w:hAnsi="細明體" w:hint="eastAsia"/>
        </w:rPr>
        <w:t>消保單位</w:t>
      </w:r>
      <w:r w:rsidR="00E21A34">
        <w:rPr>
          <w:rFonts w:ascii="細明體" w:eastAsia="細明體" w:hAnsi="細明體" w:hint="eastAsia"/>
        </w:rPr>
        <w:t>的</w:t>
      </w:r>
      <w:r w:rsidRPr="0085391F">
        <w:rPr>
          <w:rFonts w:ascii="細明體" w:eastAsia="細明體" w:hAnsi="細明體" w:hint="eastAsia"/>
        </w:rPr>
        <w:t>合作，減少</w:t>
      </w:r>
      <w:proofErr w:type="gramStart"/>
      <w:r w:rsidR="00E21A34">
        <w:rPr>
          <w:rFonts w:ascii="細明體" w:eastAsia="細明體" w:hAnsi="細明體" w:hint="eastAsia"/>
        </w:rPr>
        <w:t>了本澳居民</w:t>
      </w:r>
      <w:proofErr w:type="gramEnd"/>
      <w:r w:rsidRPr="0085391F">
        <w:rPr>
          <w:rFonts w:ascii="細明體" w:eastAsia="細明體" w:hAnsi="細明體" w:hint="eastAsia"/>
        </w:rPr>
        <w:t>因不</w:t>
      </w:r>
      <w:r w:rsidR="000E7D72">
        <w:rPr>
          <w:rFonts w:ascii="細明體" w:eastAsia="細明體" w:hAnsi="細明體" w:hint="eastAsia"/>
        </w:rPr>
        <w:t>諳</w:t>
      </w:r>
      <w:r w:rsidRPr="0085391F">
        <w:rPr>
          <w:rFonts w:ascii="細明體" w:eastAsia="細明體" w:hAnsi="細明體" w:hint="eastAsia"/>
        </w:rPr>
        <w:t>內地相關法律或實況</w:t>
      </w:r>
      <w:r w:rsidR="00E21A34">
        <w:rPr>
          <w:rFonts w:ascii="細明體" w:eastAsia="細明體" w:hAnsi="細明體" w:hint="eastAsia"/>
        </w:rPr>
        <w:t>在內地購買商品房而</w:t>
      </w:r>
      <w:r w:rsidRPr="0085391F">
        <w:rPr>
          <w:rFonts w:ascii="細明體" w:eastAsia="細明體" w:hAnsi="細明體" w:hint="eastAsia"/>
        </w:rPr>
        <w:t>引致的爭議。</w:t>
      </w:r>
    </w:p>
    <w:p w:rsidR="007742A9" w:rsidRPr="00E6526E" w:rsidRDefault="000319B9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4</w:t>
      </w:r>
      <w:r w:rsidRPr="00E6526E">
        <w:rPr>
          <w:rFonts w:ascii="細明體" w:eastAsia="細明體" w:hAnsi="細明體" w:hint="eastAsia"/>
          <w:b/>
        </w:rPr>
        <w:t>9宗</w:t>
      </w:r>
      <w:r>
        <w:rPr>
          <w:rFonts w:ascii="細明體" w:eastAsia="細明體" w:hAnsi="細明體" w:hint="eastAsia"/>
          <w:b/>
        </w:rPr>
        <w:t>涉及</w:t>
      </w:r>
      <w:r w:rsidR="00E6526E" w:rsidRPr="00E6526E">
        <w:rPr>
          <w:rFonts w:ascii="細明體" w:eastAsia="細明體" w:hAnsi="細明體" w:hint="eastAsia"/>
          <w:b/>
        </w:rPr>
        <w:t>預繳式消費與網購性質</w:t>
      </w:r>
      <w:r w:rsidR="00E6526E">
        <w:rPr>
          <w:rFonts w:ascii="細明體" w:eastAsia="細明體" w:hAnsi="細明體" w:hint="eastAsia"/>
          <w:b/>
        </w:rPr>
        <w:t>的投訴</w:t>
      </w:r>
      <w:r>
        <w:rPr>
          <w:rFonts w:ascii="細明體" w:eastAsia="細明體" w:hAnsi="細明體" w:hint="eastAsia"/>
          <w:b/>
        </w:rPr>
        <w:t>個案</w:t>
      </w:r>
      <w:r w:rsidRPr="00E6526E">
        <w:rPr>
          <w:rFonts w:ascii="細明體" w:eastAsia="細明體" w:hAnsi="細明體"/>
          <w:b/>
        </w:rPr>
        <w:t xml:space="preserve"> </w:t>
      </w:r>
    </w:p>
    <w:p w:rsidR="008A150C" w:rsidRPr="0085391F" w:rsidRDefault="008A150C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細明體" w:eastAsia="細明體" w:hAnsi="細明體"/>
        </w:rPr>
      </w:pPr>
      <w:r w:rsidRPr="0085391F">
        <w:rPr>
          <w:rFonts w:ascii="細明體" w:eastAsia="細明體" w:hAnsi="細明體" w:hint="eastAsia"/>
        </w:rPr>
        <w:t>各類投訴個案中涉及預繳式消費與網購的個案分別有29宗與20宗</w:t>
      </w:r>
      <w:r w:rsidR="0085391F" w:rsidRPr="0085391F">
        <w:rPr>
          <w:rFonts w:ascii="細明體" w:eastAsia="細明體" w:hAnsi="細明體" w:hint="eastAsia"/>
        </w:rPr>
        <w:t>，主要關於美容療程的</w:t>
      </w:r>
      <w:r w:rsidR="00E21DD6">
        <w:rPr>
          <w:rFonts w:ascii="細明體" w:eastAsia="細明體" w:hAnsi="細明體" w:hint="eastAsia"/>
        </w:rPr>
        <w:t>服務質素</w:t>
      </w:r>
      <w:r w:rsidR="0085391F" w:rsidRPr="0085391F">
        <w:rPr>
          <w:rFonts w:ascii="細明體" w:eastAsia="細明體" w:hAnsi="細明體" w:hint="eastAsia"/>
        </w:rPr>
        <w:t>與</w:t>
      </w:r>
      <w:r w:rsidR="00E21DD6">
        <w:rPr>
          <w:rFonts w:ascii="細明體" w:eastAsia="細明體" w:hAnsi="細明體" w:hint="eastAsia"/>
        </w:rPr>
        <w:t>網上訂購</w:t>
      </w:r>
      <w:r w:rsidR="0085391F" w:rsidRPr="0085391F">
        <w:rPr>
          <w:rFonts w:ascii="細明體" w:eastAsia="細明體" w:hAnsi="細明體" w:hint="eastAsia"/>
        </w:rPr>
        <w:t>機票</w:t>
      </w:r>
      <w:r w:rsidR="004319C1">
        <w:rPr>
          <w:rFonts w:ascii="細明體" w:eastAsia="細明體" w:hAnsi="細明體" w:hint="eastAsia"/>
        </w:rPr>
        <w:t>等問題引致的</w:t>
      </w:r>
      <w:r w:rsidR="0085391F" w:rsidRPr="0085391F">
        <w:rPr>
          <w:rFonts w:ascii="細明體" w:eastAsia="細明體" w:hAnsi="細明體" w:hint="eastAsia"/>
        </w:rPr>
        <w:t>爭議</w:t>
      </w:r>
      <w:r w:rsidR="0085391F">
        <w:rPr>
          <w:rFonts w:ascii="細明體" w:eastAsia="細明體" w:hAnsi="細明體" w:hint="eastAsia"/>
        </w:rPr>
        <w:t>個案</w:t>
      </w:r>
      <w:r w:rsidR="0085391F" w:rsidRPr="0085391F">
        <w:rPr>
          <w:rFonts w:ascii="細明體" w:eastAsia="細明體" w:hAnsi="細明體" w:hint="eastAsia"/>
        </w:rPr>
        <w:t>。</w:t>
      </w:r>
    </w:p>
    <w:p w:rsidR="00F57CDE" w:rsidRPr="0085391F" w:rsidRDefault="00093F53" w:rsidP="00425EDD">
      <w:pPr>
        <w:adjustRightInd w:val="0"/>
        <w:snapToGrid w:val="0"/>
        <w:spacing w:beforeLines="20" w:before="72" w:afterLines="20" w:after="72" w:line="360" w:lineRule="atLeast"/>
        <w:ind w:firstLine="482"/>
        <w:jc w:val="both"/>
        <w:rPr>
          <w:rFonts w:ascii="新細明體" w:hAnsi="新細明體"/>
        </w:rPr>
      </w:pPr>
      <w:r w:rsidRPr="0085391F">
        <w:rPr>
          <w:rFonts w:ascii="新細明體" w:hAnsi="新細明體" w:hint="eastAsia"/>
        </w:rPr>
        <w:t>消委會</w:t>
      </w:r>
      <w:r w:rsidR="00177A6A" w:rsidRPr="0085391F">
        <w:rPr>
          <w:rFonts w:ascii="新細明體" w:hAnsi="新細明體" w:hint="eastAsia"/>
        </w:rPr>
        <w:t>稍後將公佈</w:t>
      </w:r>
      <w:r w:rsidR="00E409EB" w:rsidRPr="0085391F">
        <w:rPr>
          <w:rFonts w:ascii="新細明體" w:hAnsi="新細明體" w:hint="eastAsia"/>
        </w:rPr>
        <w:t>201</w:t>
      </w:r>
      <w:r w:rsidR="0085391F" w:rsidRPr="0085391F">
        <w:rPr>
          <w:rFonts w:ascii="新細明體" w:hAnsi="新細明體" w:hint="eastAsia"/>
        </w:rPr>
        <w:t>7</w:t>
      </w:r>
      <w:r w:rsidR="00AA64F5" w:rsidRPr="0085391F">
        <w:rPr>
          <w:rFonts w:ascii="新細明體" w:hAnsi="新細明體" w:hint="eastAsia"/>
        </w:rPr>
        <w:t>年</w:t>
      </w:r>
      <w:r w:rsidR="00E409EB" w:rsidRPr="0085391F">
        <w:rPr>
          <w:rFonts w:ascii="新細明體" w:hAnsi="新細明體" w:hint="eastAsia"/>
        </w:rPr>
        <w:t>上半年</w:t>
      </w:r>
      <w:r w:rsidR="00AA64F5" w:rsidRPr="0085391F">
        <w:rPr>
          <w:rFonts w:ascii="新細明體" w:hAnsi="新細明體" w:hint="eastAsia"/>
        </w:rPr>
        <w:t>整體個案數</w:t>
      </w:r>
      <w:r w:rsidR="000319B9">
        <w:rPr>
          <w:rFonts w:ascii="新細明體" w:hAnsi="新細明體" w:hint="eastAsia"/>
        </w:rPr>
        <w:t>字</w:t>
      </w:r>
      <w:proofErr w:type="gramStart"/>
      <w:r w:rsidR="000319B9">
        <w:rPr>
          <w:rFonts w:ascii="新細明體" w:hAnsi="新細明體" w:hint="eastAsia"/>
        </w:rPr>
        <w:t>詳情於</w:t>
      </w:r>
      <w:r w:rsidR="0085391F" w:rsidRPr="0085391F">
        <w:rPr>
          <w:rFonts w:ascii="新細明體" w:hAnsi="新細明體" w:hint="eastAsia"/>
        </w:rPr>
        <w:t>消委</w:t>
      </w:r>
      <w:proofErr w:type="gramEnd"/>
      <w:r w:rsidR="00B46446" w:rsidRPr="0085391F">
        <w:rPr>
          <w:rFonts w:ascii="新細明體" w:hAnsi="新細明體" w:hint="eastAsia"/>
        </w:rPr>
        <w:t>會出版的《澳門消費》供市民</w:t>
      </w:r>
      <w:r w:rsidR="00AA64F5" w:rsidRPr="0085391F">
        <w:rPr>
          <w:rFonts w:ascii="新細明體" w:hAnsi="新細明體" w:hint="eastAsia"/>
        </w:rPr>
        <w:t>查閱</w:t>
      </w:r>
      <w:r w:rsidR="00957BF5" w:rsidRPr="0085391F">
        <w:rPr>
          <w:rFonts w:ascii="新細明體" w:hAnsi="新細明體" w:hint="eastAsia"/>
        </w:rPr>
        <w:t>，請留意</w:t>
      </w:r>
      <w:r w:rsidR="00AA64F5" w:rsidRPr="0085391F">
        <w:rPr>
          <w:rFonts w:ascii="新細明體" w:hAnsi="新細明體" w:hint="eastAsia"/>
        </w:rPr>
        <w:t>消委會</w:t>
      </w:r>
      <w:r w:rsidR="008D782C" w:rsidRPr="0085391F">
        <w:rPr>
          <w:rFonts w:ascii="新細明體" w:hAnsi="新細明體" w:hint="eastAsia"/>
        </w:rPr>
        <w:t>有關的出版消息</w:t>
      </w:r>
      <w:r w:rsidR="00F57CDE" w:rsidRPr="0085391F">
        <w:rPr>
          <w:rFonts w:ascii="新細明體" w:hAnsi="新細明體" w:hint="eastAsia"/>
        </w:rPr>
        <w:t>。</w:t>
      </w:r>
    </w:p>
    <w:sectPr w:rsidR="00F57CDE" w:rsidRPr="0085391F" w:rsidSect="00425EDD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98" w:rsidRDefault="002A3498"/>
  </w:endnote>
  <w:endnote w:type="continuationSeparator" w:id="0">
    <w:p w:rsidR="002A3498" w:rsidRDefault="002A34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98" w:rsidRDefault="002A3498"/>
  </w:footnote>
  <w:footnote w:type="continuationSeparator" w:id="0">
    <w:p w:rsidR="002A3498" w:rsidRDefault="002A3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00"/>
    <w:rsid w:val="00013B27"/>
    <w:rsid w:val="000319B9"/>
    <w:rsid w:val="00055C26"/>
    <w:rsid w:val="00055FE7"/>
    <w:rsid w:val="0007081A"/>
    <w:rsid w:val="000746DF"/>
    <w:rsid w:val="00093F53"/>
    <w:rsid w:val="000D7FDA"/>
    <w:rsid w:val="000E7D72"/>
    <w:rsid w:val="0012441D"/>
    <w:rsid w:val="0013290B"/>
    <w:rsid w:val="0014536F"/>
    <w:rsid w:val="00156F82"/>
    <w:rsid w:val="00157075"/>
    <w:rsid w:val="00177A6A"/>
    <w:rsid w:val="001A4A18"/>
    <w:rsid w:val="001E7169"/>
    <w:rsid w:val="001F4738"/>
    <w:rsid w:val="001F55BA"/>
    <w:rsid w:val="00203889"/>
    <w:rsid w:val="0023138A"/>
    <w:rsid w:val="00240F00"/>
    <w:rsid w:val="00254ED8"/>
    <w:rsid w:val="0026590C"/>
    <w:rsid w:val="00280EFC"/>
    <w:rsid w:val="00286523"/>
    <w:rsid w:val="002A3498"/>
    <w:rsid w:val="002D751C"/>
    <w:rsid w:val="002F3EAA"/>
    <w:rsid w:val="00330379"/>
    <w:rsid w:val="0035210E"/>
    <w:rsid w:val="00352879"/>
    <w:rsid w:val="00397FDA"/>
    <w:rsid w:val="003A4B04"/>
    <w:rsid w:val="003D4469"/>
    <w:rsid w:val="003F45D2"/>
    <w:rsid w:val="003F660D"/>
    <w:rsid w:val="00423020"/>
    <w:rsid w:val="00425EDD"/>
    <w:rsid w:val="004319C1"/>
    <w:rsid w:val="00455B2C"/>
    <w:rsid w:val="00470318"/>
    <w:rsid w:val="00482877"/>
    <w:rsid w:val="004A47E9"/>
    <w:rsid w:val="004F2B62"/>
    <w:rsid w:val="00554F76"/>
    <w:rsid w:val="0056196B"/>
    <w:rsid w:val="00575CE0"/>
    <w:rsid w:val="005A5F5F"/>
    <w:rsid w:val="005C2CC2"/>
    <w:rsid w:val="005C34A7"/>
    <w:rsid w:val="005C74ED"/>
    <w:rsid w:val="0060251A"/>
    <w:rsid w:val="0060329C"/>
    <w:rsid w:val="0061392A"/>
    <w:rsid w:val="006242B2"/>
    <w:rsid w:val="00627AFC"/>
    <w:rsid w:val="006551B6"/>
    <w:rsid w:val="00684736"/>
    <w:rsid w:val="006A1F6D"/>
    <w:rsid w:val="006B28AA"/>
    <w:rsid w:val="0071769B"/>
    <w:rsid w:val="007360C8"/>
    <w:rsid w:val="007742A9"/>
    <w:rsid w:val="00787D95"/>
    <w:rsid w:val="007B3E9A"/>
    <w:rsid w:val="007C18D3"/>
    <w:rsid w:val="007D0A50"/>
    <w:rsid w:val="007E77D3"/>
    <w:rsid w:val="00801565"/>
    <w:rsid w:val="0081454A"/>
    <w:rsid w:val="00823FCE"/>
    <w:rsid w:val="00832E9D"/>
    <w:rsid w:val="00835391"/>
    <w:rsid w:val="00836598"/>
    <w:rsid w:val="00846007"/>
    <w:rsid w:val="0085391F"/>
    <w:rsid w:val="00855A96"/>
    <w:rsid w:val="00866A1A"/>
    <w:rsid w:val="00870EA6"/>
    <w:rsid w:val="00874C79"/>
    <w:rsid w:val="008767E0"/>
    <w:rsid w:val="00896DFF"/>
    <w:rsid w:val="008A150C"/>
    <w:rsid w:val="008D782C"/>
    <w:rsid w:val="008F744E"/>
    <w:rsid w:val="00957BF5"/>
    <w:rsid w:val="00985FE6"/>
    <w:rsid w:val="009A486D"/>
    <w:rsid w:val="009B52A1"/>
    <w:rsid w:val="009D09A9"/>
    <w:rsid w:val="009D1EB4"/>
    <w:rsid w:val="009D606C"/>
    <w:rsid w:val="00A03F86"/>
    <w:rsid w:val="00A15A1E"/>
    <w:rsid w:val="00A269F6"/>
    <w:rsid w:val="00A92F71"/>
    <w:rsid w:val="00AA64F5"/>
    <w:rsid w:val="00AE1190"/>
    <w:rsid w:val="00AE657C"/>
    <w:rsid w:val="00AF21E3"/>
    <w:rsid w:val="00B2258B"/>
    <w:rsid w:val="00B45F02"/>
    <w:rsid w:val="00B46446"/>
    <w:rsid w:val="00B53F6A"/>
    <w:rsid w:val="00B54CD4"/>
    <w:rsid w:val="00B71F7F"/>
    <w:rsid w:val="00BA774C"/>
    <w:rsid w:val="00BB1920"/>
    <w:rsid w:val="00BC2696"/>
    <w:rsid w:val="00BD4323"/>
    <w:rsid w:val="00BF0E9D"/>
    <w:rsid w:val="00C037D2"/>
    <w:rsid w:val="00C1140C"/>
    <w:rsid w:val="00C579DD"/>
    <w:rsid w:val="00CC1ED4"/>
    <w:rsid w:val="00CE5CE3"/>
    <w:rsid w:val="00CF1602"/>
    <w:rsid w:val="00D21D42"/>
    <w:rsid w:val="00D3261D"/>
    <w:rsid w:val="00D41867"/>
    <w:rsid w:val="00DE6600"/>
    <w:rsid w:val="00DE7626"/>
    <w:rsid w:val="00E02038"/>
    <w:rsid w:val="00E21A34"/>
    <w:rsid w:val="00E21DD6"/>
    <w:rsid w:val="00E313C0"/>
    <w:rsid w:val="00E409EB"/>
    <w:rsid w:val="00E6526E"/>
    <w:rsid w:val="00E82904"/>
    <w:rsid w:val="00EE158E"/>
    <w:rsid w:val="00EF5FD7"/>
    <w:rsid w:val="00F06E79"/>
    <w:rsid w:val="00F2182E"/>
    <w:rsid w:val="00F36BF9"/>
    <w:rsid w:val="00F52819"/>
    <w:rsid w:val="00F57CDE"/>
    <w:rsid w:val="00F6358E"/>
    <w:rsid w:val="00F7518E"/>
    <w:rsid w:val="00F913AD"/>
    <w:rsid w:val="00FA60C2"/>
    <w:rsid w:val="00FC076F"/>
    <w:rsid w:val="00FD2BFB"/>
    <w:rsid w:val="00FD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4536F"/>
    <w:rPr>
      <w:kern w:val="2"/>
    </w:rPr>
  </w:style>
  <w:style w:type="paragraph" w:styleId="a5">
    <w:name w:val="footer"/>
    <w:basedOn w:val="a"/>
    <w:link w:val="a6"/>
    <w:rsid w:val="00145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453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822</Words>
  <Characters>83</Characters>
  <Application>Microsoft Office Word</Application>
  <DocSecurity>0</DocSecurity>
  <Lines>1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消費者委員會  消息</dc:title>
  <dc:creator>Hnwong</dc:creator>
  <cp:lastModifiedBy>Pat</cp:lastModifiedBy>
  <cp:revision>18</cp:revision>
  <cp:lastPrinted>2017-07-17T01:38:00Z</cp:lastPrinted>
  <dcterms:created xsi:type="dcterms:W3CDTF">2017-07-10T07:16:00Z</dcterms:created>
  <dcterms:modified xsi:type="dcterms:W3CDTF">2017-07-17T02:35:00Z</dcterms:modified>
</cp:coreProperties>
</file>