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DC3" w:rsidRPr="00F25DC3" w:rsidRDefault="00F25DC3" w:rsidP="00F25DC3">
      <w:pPr>
        <w:spacing w:beforeLines="50" w:before="120" w:afterLines="50" w:after="120" w:line="360" w:lineRule="atLeast"/>
        <w:jc w:val="center"/>
        <w:rPr>
          <w:rFonts w:eastAsia="新細明體"/>
          <w:b/>
          <w:snapToGrid w:val="0"/>
          <w:sz w:val="24"/>
          <w:szCs w:val="24"/>
          <w:lang w:eastAsia="zh-TW"/>
        </w:rPr>
      </w:pP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消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 xml:space="preserve"> 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費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 xml:space="preserve"> 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者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 xml:space="preserve"> 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委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 xml:space="preserve"> 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員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 xml:space="preserve"> 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會</w:t>
      </w:r>
    </w:p>
    <w:p w:rsidR="00F25DC3" w:rsidRPr="00F25DC3" w:rsidRDefault="00F25DC3" w:rsidP="00F25DC3">
      <w:pPr>
        <w:spacing w:beforeLines="50" w:before="120" w:afterLines="50" w:after="120" w:line="360" w:lineRule="atLeast"/>
        <w:jc w:val="center"/>
        <w:rPr>
          <w:rFonts w:eastAsia="新細明體"/>
          <w:b/>
          <w:snapToGrid w:val="0"/>
          <w:sz w:val="24"/>
          <w:szCs w:val="24"/>
          <w:lang w:eastAsia="zh-TW"/>
        </w:rPr>
      </w:pP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新聞稿</w:t>
      </w:r>
    </w:p>
    <w:p w:rsidR="00F25DC3" w:rsidRPr="00F25DC3" w:rsidRDefault="00F25DC3" w:rsidP="00F25DC3">
      <w:pPr>
        <w:spacing w:beforeLines="50" w:before="120" w:afterLines="50" w:after="120" w:line="360" w:lineRule="atLeast"/>
        <w:jc w:val="center"/>
        <w:rPr>
          <w:rFonts w:eastAsia="新細明體"/>
          <w:b/>
          <w:snapToGrid w:val="0"/>
          <w:sz w:val="24"/>
          <w:szCs w:val="24"/>
          <w:lang w:eastAsia="zh-TW"/>
        </w:rPr>
      </w:pP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-</w:t>
      </w:r>
      <w:r>
        <w:rPr>
          <w:rFonts w:eastAsia="新細明體" w:hint="eastAsia"/>
          <w:b/>
          <w:snapToGrid w:val="0"/>
          <w:sz w:val="24"/>
          <w:szCs w:val="24"/>
          <w:lang w:eastAsia="zh-TW"/>
        </w:rPr>
        <w:t>11</w:t>
      </w:r>
      <w:r w:rsidRPr="00F25DC3">
        <w:rPr>
          <w:rFonts w:eastAsia="新細明體" w:hint="eastAsia"/>
          <w:b/>
          <w:snapToGrid w:val="0"/>
          <w:sz w:val="24"/>
          <w:szCs w:val="24"/>
          <w:lang w:eastAsia="zh-TW"/>
        </w:rPr>
        <w:t>-2018</w:t>
      </w:r>
    </w:p>
    <w:p w:rsidR="00F25DC3" w:rsidRPr="00F25DC3" w:rsidRDefault="00F25DC3" w:rsidP="00F25DC3">
      <w:pPr>
        <w:shd w:val="solid" w:color="FFFFFF" w:fill="auto"/>
        <w:autoSpaceDN w:val="0"/>
        <w:spacing w:beforeLines="50" w:before="120" w:afterLines="50" w:after="120" w:line="360" w:lineRule="atLeast"/>
        <w:jc w:val="center"/>
        <w:rPr>
          <w:rFonts w:ascii="方正小标宋简体" w:eastAsia="新細明體" w:hAnsi="方正小标宋简体" w:hint="eastAsia"/>
          <w:sz w:val="28"/>
          <w:szCs w:val="28"/>
          <w:shd w:val="clear" w:color="auto" w:fill="FFFFFF"/>
          <w:lang w:eastAsia="zh-TW"/>
        </w:rPr>
      </w:pPr>
    </w:p>
    <w:p w:rsidR="00F25DC3" w:rsidRPr="00B14765" w:rsidRDefault="00F25DC3" w:rsidP="00F25DC3">
      <w:pPr>
        <w:shd w:val="solid" w:color="FFFFFF" w:fill="auto"/>
        <w:autoSpaceDN w:val="0"/>
        <w:spacing w:beforeLines="50" w:before="120" w:afterLines="50" w:after="120" w:line="360" w:lineRule="atLeast"/>
        <w:jc w:val="center"/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</w:pPr>
      <w:proofErr w:type="gramStart"/>
      <w:r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琴澳消費者</w:t>
      </w:r>
      <w:proofErr w:type="gramEnd"/>
      <w:r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組織聯合發出消費提示</w:t>
      </w:r>
    </w:p>
    <w:p w:rsidR="00B01C96" w:rsidRPr="00B14765" w:rsidRDefault="00F25DC3" w:rsidP="00F25DC3">
      <w:pPr>
        <w:shd w:val="solid" w:color="FFFFFF" w:fill="auto"/>
        <w:autoSpaceDN w:val="0"/>
        <w:spacing w:beforeLines="50" w:before="120" w:afterLines="50" w:after="120" w:line="360" w:lineRule="atLeast"/>
        <w:jc w:val="center"/>
        <w:rPr>
          <w:rFonts w:ascii="方正小标宋简体" w:eastAsia="方正小标宋简体" w:hAnsi="方正小标宋简体" w:hint="eastAsia"/>
          <w:b/>
          <w:sz w:val="28"/>
          <w:szCs w:val="28"/>
          <w:shd w:val="clear" w:color="auto" w:fill="FFFFFF"/>
          <w:lang w:eastAsia="zh-TW"/>
        </w:rPr>
      </w:pPr>
      <w:proofErr w:type="gramStart"/>
      <w:r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澳人在</w:t>
      </w:r>
      <w:r w:rsidR="00E53143"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橫琴</w:t>
      </w:r>
      <w:proofErr w:type="gramEnd"/>
      <w:r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房地產交易有八</w:t>
      </w:r>
      <w:r w:rsidR="00792F27"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點</w:t>
      </w:r>
      <w:r w:rsidRPr="00B14765">
        <w:rPr>
          <w:rFonts w:ascii="方正小标宋简体" w:eastAsia="新細明體" w:hAnsi="方正小标宋简体" w:hint="eastAsia"/>
          <w:b/>
          <w:sz w:val="28"/>
          <w:szCs w:val="28"/>
          <w:shd w:val="clear" w:color="auto" w:fill="FFFFFF"/>
          <w:lang w:eastAsia="zh-TW"/>
        </w:rPr>
        <w:t>須知</w:t>
      </w:r>
    </w:p>
    <w:p w:rsidR="00F25DC3" w:rsidRPr="00B14765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 xml:space="preserve">     </w:t>
      </w:r>
    </w:p>
    <w:p w:rsidR="00F25DC3" w:rsidRPr="00B14765" w:rsidRDefault="009E06B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="42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澳門</w:t>
      </w:r>
      <w:r w:rsidR="00EF155A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消費者委員會</w:t>
      </w:r>
      <w:r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與</w:t>
      </w:r>
      <w:proofErr w:type="gramStart"/>
      <w:r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橫琴新</w:t>
      </w:r>
      <w:proofErr w:type="gramEnd"/>
      <w:r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區消費者協會</w:t>
      </w:r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早前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合作</w:t>
      </w:r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，</w:t>
      </w:r>
      <w:proofErr w:type="gramStart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為本澳居民進行跨域</w:t>
      </w:r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網</w:t>
      </w:r>
      <w:r w:rsidR="00E5314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上</w:t>
      </w:r>
      <w:proofErr w:type="gramEnd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調解，快速為解決一宗</w:t>
      </w:r>
      <w:r w:rsidR="00E5314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澳門居民</w:t>
      </w:r>
      <w:proofErr w:type="gramStart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在琴橫購買</w:t>
      </w:r>
      <w:proofErr w:type="gramEnd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不動產與當地地產中介發生的爭議，為消費者挽回人民幣二十萬元的經濟損失，是</w:t>
      </w:r>
      <w:proofErr w:type="gramStart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次琴澳</w:t>
      </w:r>
      <w:proofErr w:type="gramEnd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合作</w:t>
      </w:r>
      <w:proofErr w:type="gramStart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開</w:t>
      </w:r>
      <w:r w:rsidR="00A05A9E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啟</w:t>
      </w:r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跨域調解</w:t>
      </w:r>
      <w:proofErr w:type="gramEnd"/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仲裁的先河，成為未來澳門消委會與內地各消費者組織</w:t>
      </w:r>
      <w:r w:rsidR="00A05A9E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深度</w:t>
      </w:r>
      <w:r w:rsidR="007272D6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合作的範例。</w:t>
      </w:r>
    </w:p>
    <w:p w:rsidR="00B01C96" w:rsidRPr="00B14765" w:rsidRDefault="007272D6" w:rsidP="007272D6">
      <w:pPr>
        <w:shd w:val="solid" w:color="FFFFFF" w:fill="auto"/>
        <w:autoSpaceDN w:val="0"/>
        <w:spacing w:beforeLines="50" w:before="120" w:afterLines="50" w:after="120" w:line="400" w:lineRule="atLeast"/>
        <w:ind w:firstLine="420"/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與此同時，在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粵港澳大灣區國家戰略穩步推進，特別是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港珠澳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大橋通車後，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相信</w:t>
      </w:r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會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推動大灣區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城市間的產業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互補融合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的步伐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更加快速，人才交流合作更加頻繁。</w:t>
      </w:r>
      <w:proofErr w:type="gramStart"/>
      <w:r w:rsidR="00E01575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橫琴新</w:t>
      </w:r>
      <w:proofErr w:type="gramEnd"/>
      <w:r w:rsidR="00E01575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區</w:t>
      </w:r>
      <w:r w:rsidR="00F25DC3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人居環境和獨特的區位優勢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受到廣大業主的青睞，</w:t>
      </w:r>
      <w:r w:rsidR="00F25DC3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近年來，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橫琴房地產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市場呈現出產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銷兩旺的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lang w:eastAsia="zh-TW"/>
        </w:rPr>
        <w:t>局面。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為加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強橫琴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房地產交易政策推廣，提高廣大消費者房地產交易風險防範和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消費維權意識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，澳門</w:t>
      </w:r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消委會與</w:t>
      </w:r>
      <w:proofErr w:type="gramStart"/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橫琴新區消協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聯合</w:t>
      </w:r>
      <w:proofErr w:type="gramStart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發佈橫琴房地產</w:t>
      </w:r>
      <w:proofErr w:type="gramEnd"/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交易消費提示如下</w:t>
      </w:r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，提示澳門居民在內地購買商品房八</w:t>
      </w:r>
      <w:r w:rsidR="00792F27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點</w:t>
      </w:r>
      <w:r w:rsidR="00E01575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須知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。</w:t>
      </w:r>
    </w:p>
    <w:p w:rsidR="00B01C96" w:rsidRPr="00B14765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一、購房資格必滿足。</w:t>
      </w:r>
      <w:proofErr w:type="gramStart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橫琴新</w:t>
      </w:r>
      <w:proofErr w:type="gramEnd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區嚴格執行國家、省、市的房地產調控政策，政府部門對購房資格有嚴格的規定，請大家切勿聽信任何不實說辭</w:t>
      </w:r>
      <w:proofErr w:type="gramStart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（</w:t>
      </w:r>
      <w:proofErr w:type="gramEnd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如：宣稱有內部關係，只要交點“介紹費”，就可以通過購房資格審核</w:t>
      </w:r>
      <w:proofErr w:type="gramStart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）</w:t>
      </w:r>
      <w:proofErr w:type="gramEnd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，更不要通過非法途徑辦理購房手續，避免因無法通過購房資格審核而承擔違約責任，並對</w:t>
      </w:r>
      <w:proofErr w:type="gramStart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個人征信</w:t>
      </w:r>
      <w:proofErr w:type="gramEnd"/>
      <w:r w:rsid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（信貸）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造成不良影響。</w:t>
      </w:r>
    </w:p>
    <w:p w:rsidR="00B01C96" w:rsidRPr="00B14765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二、房屋性質要明確。個別不良商家將本應規劃為產業、辦公用地擅自改變為公寓，並以“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LOFT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”“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SOHO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”“酒店式公寓”“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70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年產權公寓”等名義對外銷售。請廣大消費者在購房前應查驗銷售方的《商品房預售許可證》《建築工程規劃許可證》等證件，瞭解房屋和土地用途，切勿購買未取得《商品房預售許可證》和擅自改變規劃用途的房屋。</w:t>
      </w:r>
    </w:p>
    <w:p w:rsidR="00B01C96" w:rsidRPr="00B14765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三、售樓廣告莫輕信。在購房過程中不要輕信銷售人員的口頭承諾，一定要向房產商確認其廣告或宣傳資料中有關房屋贈送面積、周邊設施，特別是學校、醫院等配套內容的真實性，如果購房者認為廣告宣傳的事項對訂立合同有重大影響的，可以要求增加到合同內容中，並設定違約責任。購房前還</w:t>
      </w:r>
      <w:r w:rsidR="00E5314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要全面瞭解房屋狀況，實地考察周邊環境、房屋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質</w:t>
      </w:r>
      <w:r w:rsidR="00E5314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量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、水電氣等設施設備。因廣告宣傳與事實不符，購房者要求解除買賣合同的，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lastRenderedPageBreak/>
        <w:t>可與房產商協商，協商不成的，應當通過司法途徑解決。</w:t>
      </w:r>
    </w:p>
    <w:p w:rsidR="00B01C96" w:rsidRPr="00B14765" w:rsidRDefault="00E5314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四、選擇中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介需謹慎。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在選擇房地產中</w:t>
      </w:r>
      <w:r w:rsidR="00F25DC3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介或經紀時，要選擇正規、信用良好的機構，注意查看該機構的營業執照、房地產經紀機構備案證書和經紀人證書資料原件，並要留意營業執照、備案證書的有效期，登記地址與實際是否相符，房地產經紀人的執業單位與執業證是否一致等資訊。</w:t>
      </w:r>
    </w:p>
    <w:p w:rsidR="00B01C96" w:rsidRPr="00B14765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五、交付定金須謹慎。在房地產交易中，為提前</w:t>
      </w:r>
      <w:proofErr w:type="gramStart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預定房源</w:t>
      </w:r>
      <w:proofErr w:type="gramEnd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，房地產商一般要求購房者預先支付款項，並開具收款收據，在收款收據中經常會出現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“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定金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”</w:t>
      </w:r>
      <w:r w:rsidR="00224F7F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、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“訂金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”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或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“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誠意金</w:t>
      </w:r>
      <w:r w:rsidRPr="00B14765">
        <w:rPr>
          <w:rFonts w:ascii="新細明體" w:eastAsia="新細明體" w:hAnsi="新細明體"/>
          <w:sz w:val="24"/>
          <w:szCs w:val="24"/>
          <w:shd w:val="clear" w:color="auto" w:fill="FFFFFF"/>
          <w:lang w:eastAsia="zh-TW"/>
        </w:rPr>
        <w:t>”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等字眼。根據《中華人民共和國合同法》的規定，給付“定金”的一方不履行約定的，無權要求返還“定金”。收受“定金”的一方不履行約定的債務的，應當雙倍返還“定金”；根據《最高人民法院關於適用〈中華人民共和國擔保法〉若干問題的解釋》的規定，訂金、誠意金、保證金、訂約金等，可通過雙方協調歸還。</w:t>
      </w:r>
    </w:p>
    <w:p w:rsidR="00B01C96" w:rsidRPr="00B14765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六、簽訂合同須留心。購房合同是房屋買賣最重要的法律憑據。簽署合同前，應認真閱讀合同的條款和內容，徵求法律或專業人士意見。對購房合同中的格式條款，購房者認為有涉嫌免除房產商責任、加重消費者責任或排除消費者權利的，應充分與房產商協商，達成一致意見後予以修改，以保障自身權益。對合同中有</w:t>
      </w:r>
      <w:proofErr w:type="gramStart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需手填條款</w:t>
      </w:r>
      <w:proofErr w:type="gramEnd"/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專案，留白部分應予劃</w:t>
      </w:r>
      <w:r w:rsidR="00224F7F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去。不要輕信口頭承諾，要將房產商的承諾寫入合同，防止“事後不認賬</w:t>
      </w: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”。</w:t>
      </w:r>
    </w:p>
    <w:p w:rsidR="00B01C96" w:rsidRPr="00B01C96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</w:rPr>
      </w:pPr>
      <w:r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七、“陰陽合同”簽不得。在房屋買賣交易過程中，個別當事人為逃避稅費或獲取高額度商業貸款，採用簽訂“陰陽合同”的方式辦理交易手續。這種做法，不僅</w:t>
      </w:r>
      <w:r w:rsidR="00224F7F" w:rsidRPr="00B14765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違反了</w:t>
      </w:r>
      <w:bookmarkStart w:id="0" w:name="_GoBack"/>
      <w:bookmarkEnd w:id="0"/>
      <w:r w:rsidR="00224F7F"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法律的規定，還存在極大交易風險。根據</w:t>
      </w:r>
      <w:proofErr w:type="gramStart"/>
      <w:r w:rsidR="00A168A8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《</w:t>
      </w:r>
      <w:proofErr w:type="gramEnd"/>
      <w:r w:rsidR="00A168A8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中華人民共和國</w:t>
      </w:r>
      <w:r w:rsidR="00843278" w:rsidRPr="00843278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税收征管法</w:t>
      </w:r>
      <w:r w:rsidRPr="00C80D8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》</w:t>
      </w:r>
      <w:r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的相關規定，納稅人提供虛假材料偷稅漏稅的，均要承擔相應的行政處罰，甚至被追究刑事責任。同時在交易過程中，一旦對方通過司法途徑要求履行合同約定事項時，因虛報的內容已被房屋交易管理部門、稅務部門或銀行所採納認可，當事人往往必須按照虛報的內容履行相應義務，自行承擔由此造成的所有損失。</w:t>
      </w:r>
    </w:p>
    <w:p w:rsidR="00B01C96" w:rsidRPr="00B01C96" w:rsidRDefault="00F25DC3" w:rsidP="00F25DC3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新細明體" w:eastAsia="新細明體" w:hAnsi="新細明體" w:hint="eastAsia"/>
          <w:sz w:val="24"/>
          <w:szCs w:val="24"/>
          <w:shd w:val="clear" w:color="auto" w:fill="FFFFFF"/>
        </w:rPr>
      </w:pPr>
      <w:r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八、</w:t>
      </w:r>
      <w:proofErr w:type="gramStart"/>
      <w:r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維權途徑</w:t>
      </w:r>
      <w:proofErr w:type="gramEnd"/>
      <w:r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要選對。根據《中華人民共和國合同法》，“依法成立的合同，對當事人具有法律約束力。當事人應當按照約定履行自己的義務，不得擅自變更或解除合同</w:t>
      </w:r>
      <w:proofErr w:type="gramStart"/>
      <w:r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”</w:t>
      </w:r>
      <w:proofErr w:type="gramEnd"/>
      <w:r w:rsidRPr="00B01C96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，“當事人依法享有自願訂立合同的權利，任何單位和個人不得非法干預”。依法簽訂的合同受法律保護，合同當事人對自己簽署的合同或協議應以嚴肅認真的態度履行。在合同或協議履行過程中出現矛盾糾紛時，當事人可以通過協商解決爭議，協商不成的，應當按合同約定的爭議解決方式通過仲裁或訴訟等途徑及時處理。矛盾糾紛中較為常見的解除合同、退還定金等訴求，屬於民事糾紛，應當通過司法途徑解決，行政機關無法也無權干預。</w:t>
      </w:r>
    </w:p>
    <w:p w:rsidR="00B01C96" w:rsidRPr="004447EB" w:rsidRDefault="00224F7F" w:rsidP="00224F7F">
      <w:pPr>
        <w:shd w:val="solid" w:color="FFFFFF" w:fill="auto"/>
        <w:autoSpaceDN w:val="0"/>
        <w:spacing w:beforeLines="50" w:before="120" w:afterLines="50" w:after="120" w:line="400" w:lineRule="atLeast"/>
        <w:ind w:firstLineChars="200" w:firstLine="480"/>
        <w:rPr>
          <w:rFonts w:ascii="FangSong_GB2312" w:eastAsia="FangSong_GB2312" w:hAnsi="FangSong_GB2312" w:hint="eastAsia"/>
          <w:sz w:val="24"/>
          <w:szCs w:val="24"/>
          <w:lang w:eastAsia="zh-TW"/>
        </w:rPr>
      </w:pPr>
      <w:proofErr w:type="gramStart"/>
      <w:r w:rsidRPr="004447EB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本澳居民</w:t>
      </w:r>
      <w:proofErr w:type="gramEnd"/>
      <w:r w:rsidRPr="004447EB">
        <w:rPr>
          <w:rFonts w:ascii="新細明體" w:eastAsia="新細明體" w:hAnsi="新細明體" w:hint="eastAsia"/>
          <w:sz w:val="24"/>
          <w:szCs w:val="24"/>
          <w:shd w:val="clear" w:color="auto" w:fill="FFFFFF"/>
          <w:lang w:eastAsia="zh-TW"/>
        </w:rPr>
        <w:t>如在內地購買商品房過程中，如有任何疑問或發生爭議，可致電澳門消委會服務熱線：8988 9315。</w:t>
      </w:r>
      <w:r w:rsidR="00B01C96" w:rsidRPr="004447EB">
        <w:rPr>
          <w:rFonts w:ascii="FangSong_GB2312" w:eastAsia="FangSong_GB2312" w:hAnsi="FangSong_GB2312" w:hint="eastAsia"/>
          <w:sz w:val="24"/>
          <w:szCs w:val="24"/>
          <w:lang w:eastAsia="zh-TW"/>
        </w:rPr>
        <w:t xml:space="preserve"> </w:t>
      </w:r>
    </w:p>
    <w:sectPr w:rsidR="00B01C96" w:rsidRPr="004447EB" w:rsidSect="00F25DC3">
      <w:pgSz w:w="11906" w:h="16838" w:code="9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140D"/>
    <w:rsid w:val="00224F7F"/>
    <w:rsid w:val="004110CC"/>
    <w:rsid w:val="004447EB"/>
    <w:rsid w:val="007272D6"/>
    <w:rsid w:val="00792F27"/>
    <w:rsid w:val="00832ABF"/>
    <w:rsid w:val="00843278"/>
    <w:rsid w:val="008C7490"/>
    <w:rsid w:val="009E06B3"/>
    <w:rsid w:val="00A05A9E"/>
    <w:rsid w:val="00A168A8"/>
    <w:rsid w:val="00B01C96"/>
    <w:rsid w:val="00B14765"/>
    <w:rsid w:val="00C465D0"/>
    <w:rsid w:val="00C80D86"/>
    <w:rsid w:val="00E01575"/>
    <w:rsid w:val="00E53143"/>
    <w:rsid w:val="00EF155A"/>
    <w:rsid w:val="00F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303</Words>
  <Characters>1733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房地产交易消费警示</dc:title>
  <dc:creator>林劲辉</dc:creator>
  <cp:lastModifiedBy>Pat</cp:lastModifiedBy>
  <cp:revision>2</cp:revision>
  <cp:lastPrinted>2018-11-29T01:25:00Z</cp:lastPrinted>
  <dcterms:created xsi:type="dcterms:W3CDTF">2018-11-29T02:32:00Z</dcterms:created>
  <dcterms:modified xsi:type="dcterms:W3CDTF">2018-11-29T02:32:00Z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