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F4" w:rsidRPr="008421F7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0E685C">
        <w:rPr>
          <w:rFonts w:ascii="新細明體" w:hAnsi="新細明體" w:cs="Calibri"/>
          <w:b/>
          <w:spacing w:val="10"/>
          <w:kern w:val="0"/>
        </w:rPr>
        <w:t xml:space="preserve">消 費 者 委 員 </w:t>
      </w: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會</w:t>
      </w:r>
    </w:p>
    <w:p w:rsidR="001577F4" w:rsidRPr="008421F7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新聞稿</w:t>
      </w:r>
    </w:p>
    <w:p w:rsidR="001577F4" w:rsidRDefault="00A704B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18-12</w:t>
      </w:r>
      <w:r w:rsidR="00D9033C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</w:t>
      </w:r>
      <w:r w:rsidR="00324B11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2</w:t>
      </w:r>
      <w:r w:rsidR="001577F4" w:rsidRPr="008421F7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01</w:t>
      </w:r>
      <w:r w:rsidR="001577F4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8</w:t>
      </w:r>
    </w:p>
    <w:p w:rsidR="00A8207A" w:rsidRDefault="00A8207A" w:rsidP="00AB467C">
      <w:pPr>
        <w:adjustRightInd w:val="0"/>
        <w:snapToGrid w:val="0"/>
        <w:spacing w:beforeLines="50" w:before="180" w:afterLines="50" w:after="180" w:line="360" w:lineRule="atLeast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</w:p>
    <w:p w:rsidR="00DC7A68" w:rsidRDefault="00C7544E" w:rsidP="00AB467C">
      <w:pPr>
        <w:adjustRightInd w:val="0"/>
        <w:snapToGrid w:val="0"/>
        <w:spacing w:beforeLines="50" w:before="180" w:afterLines="50" w:after="180" w:line="360" w:lineRule="atLeast"/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澳</w:t>
      </w:r>
      <w:r w:rsidR="00D50970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門</w:t>
      </w:r>
      <w:proofErr w:type="gramStart"/>
      <w:r w:rsidR="00D50970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橫</w:t>
      </w:r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琴</w:t>
      </w:r>
      <w:r w:rsidR="00DC7A68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再辦跨域</w:t>
      </w:r>
      <w:proofErr w:type="gramEnd"/>
      <w:r w:rsidR="00DC7A68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調解</w:t>
      </w:r>
    </w:p>
    <w:p w:rsidR="00DC7A68" w:rsidRDefault="00DC7A68" w:rsidP="00AB467C">
      <w:pPr>
        <w:adjustRightInd w:val="0"/>
        <w:snapToGrid w:val="0"/>
        <w:spacing w:beforeLines="50" w:before="180" w:afterLines="50" w:after="180" w:line="360" w:lineRule="atLeast"/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DC7A68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二十分鐘</w:t>
      </w:r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解決消費爭議</w:t>
      </w:r>
    </w:p>
    <w:p w:rsidR="00C7544E" w:rsidRPr="00DC7A68" w:rsidRDefault="00C7544E" w:rsidP="00AB467C">
      <w:pPr>
        <w:widowControl/>
        <w:adjustRightInd w:val="0"/>
        <w:snapToGrid w:val="0"/>
        <w:spacing w:beforeLines="50" w:before="180" w:afterLines="50" w:after="180" w:line="360" w:lineRule="atLeast"/>
        <w:jc w:val="both"/>
        <w:textAlignment w:val="center"/>
        <w:rPr>
          <w:rFonts w:asciiTheme="minorEastAsia" w:eastAsiaTheme="minorEastAsia" w:hAnsiTheme="minorEastAsia"/>
          <w:kern w:val="0"/>
        </w:rPr>
      </w:pPr>
    </w:p>
    <w:p w:rsidR="00A704B4" w:rsidRPr="00DC7A68" w:rsidRDefault="00252B82" w:rsidP="00DC7A68">
      <w:pPr>
        <w:widowControl/>
        <w:adjustRightInd w:val="0"/>
        <w:snapToGrid w:val="0"/>
        <w:spacing w:beforeLines="50" w:before="180" w:afterLines="50" w:after="180" w:line="400" w:lineRule="atLeast"/>
        <w:jc w:val="both"/>
        <w:textAlignment w:val="center"/>
        <w:rPr>
          <w:rFonts w:asciiTheme="minorEastAsia" w:eastAsiaTheme="minorEastAsia" w:hAnsiTheme="minorEastAsia"/>
          <w:snapToGrid w:val="0"/>
          <w:kern w:val="24"/>
          <w:sz w:val="28"/>
          <w:szCs w:val="28"/>
        </w:rPr>
      </w:pPr>
      <w:r w:rsidRPr="00AB467C">
        <w:rPr>
          <w:rFonts w:asciiTheme="minorEastAsia" w:eastAsiaTheme="minorEastAsia" w:hAnsiTheme="minorEastAsia" w:hint="eastAsia"/>
          <w:snapToGrid w:val="0"/>
          <w:kern w:val="24"/>
        </w:rPr>
        <w:tab/>
      </w:r>
      <w:r w:rsidR="00AE65C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澳門消費者委員會與橫琴新區消費者協會</w:t>
      </w:r>
      <w:r w:rsidR="00A704B4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再次啟動“跨境</w:t>
      </w:r>
      <w:r w:rsidR="005B56DB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消費糾紛視頻調解機制</w:t>
      </w:r>
      <w:r w:rsidR="00A704B4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”</w:t>
      </w:r>
      <w:r w:rsidR="004947F9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，日前</w:t>
      </w:r>
      <w:proofErr w:type="gramStart"/>
      <w:r w:rsidR="004947F9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為本澳居民進行跨域調解</w:t>
      </w:r>
      <w:proofErr w:type="gramEnd"/>
      <w:r w:rsidR="004947F9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並</w:t>
      </w:r>
      <w:r w:rsidR="00A704B4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即時解決雙方爭議，兩會</w:t>
      </w:r>
      <w:proofErr w:type="gramStart"/>
      <w:r w:rsidR="00A704B4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認同</w:t>
      </w:r>
      <w:r w:rsidR="005B56DB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跨域調解</w:t>
      </w:r>
      <w:proofErr w:type="gramEnd"/>
      <w:r w:rsidR="005B56DB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服務運作以來已發揮便捷</w:t>
      </w:r>
      <w:r w:rsidR="00844A91" w:rsidRPr="00844A91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、高效</w:t>
      </w:r>
      <w:r w:rsidR="00844A91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的</w:t>
      </w:r>
      <w:r w:rsidR="005B56DB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優點，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並</w:t>
      </w:r>
      <w:r w:rsidR="005B56DB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會因應兩地消費者的需</w:t>
      </w:r>
      <w:r w:rsidR="004947F9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求</w:t>
      </w:r>
      <w:r w:rsidR="005B56DB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維持及加強相關的服務。</w:t>
      </w:r>
    </w:p>
    <w:p w:rsidR="005B56DB" w:rsidRPr="00DC7A68" w:rsidRDefault="005B56DB" w:rsidP="00DC7A68">
      <w:pPr>
        <w:widowControl/>
        <w:adjustRightInd w:val="0"/>
        <w:snapToGrid w:val="0"/>
        <w:spacing w:beforeLines="50" w:before="180" w:afterLines="50" w:after="180" w:line="400" w:lineRule="atLeast"/>
        <w:jc w:val="both"/>
        <w:textAlignment w:val="center"/>
        <w:rPr>
          <w:rFonts w:asciiTheme="minorEastAsia" w:eastAsiaTheme="minorEastAsia" w:hAnsiTheme="minorEastAsia"/>
          <w:snapToGrid w:val="0"/>
          <w:kern w:val="24"/>
          <w:sz w:val="28"/>
          <w:szCs w:val="28"/>
        </w:rPr>
      </w:pPr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ab/>
      </w:r>
      <w:proofErr w:type="gramStart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本澳居民</w:t>
      </w:r>
      <w:proofErr w:type="gramEnd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計劃在</w:t>
      </w:r>
      <w:proofErr w:type="gramStart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橫琴</w:t>
      </w:r>
      <w:r w:rsidR="00AE74CB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置</w:t>
      </w:r>
      <w:proofErr w:type="gramEnd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業的過程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中，因</w:t>
      </w:r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與當</w:t>
      </w:r>
      <w:r w:rsidR="004947F9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地地產中介發生消費爭議向澳門消委會投訴，為方便消費者免於</w:t>
      </w:r>
      <w:proofErr w:type="gramStart"/>
      <w:r w:rsidR="004947F9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往返澳琴</w:t>
      </w:r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兩地</w:t>
      </w:r>
      <w:proofErr w:type="gramEnd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，消委會與</w:t>
      </w:r>
      <w:proofErr w:type="gramStart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橫琴消協</w:t>
      </w:r>
      <w:proofErr w:type="gramEnd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根據合作協議進行個案轉</w:t>
      </w:r>
      <w:proofErr w:type="gramStart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介</w:t>
      </w:r>
      <w:proofErr w:type="gramEnd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，並在條件成熟下啟動“跨境消費糾紛視頻調解機制”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為雙方</w:t>
      </w:r>
      <w:proofErr w:type="gramStart"/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提供跨域調解</w:t>
      </w:r>
      <w:proofErr w:type="gramEnd"/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服務</w:t>
      </w:r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，消費</w:t>
      </w:r>
      <w:r w:rsidR="0050033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爭議雙方只需</w:t>
      </w:r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在</w:t>
      </w:r>
      <w:r w:rsidR="0050033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兩會</w:t>
      </w:r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辦事處</w:t>
      </w:r>
      <w:r w:rsidR="004947F9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內</w:t>
      </w:r>
      <w:r w:rsidR="0050033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利用</w:t>
      </w:r>
      <w:proofErr w:type="gramStart"/>
      <w:r w:rsidR="0050033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網絡視像</w:t>
      </w:r>
      <w:proofErr w:type="gramEnd"/>
      <w:r w:rsidR="0050033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會議設備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就解決爭議</w:t>
      </w:r>
      <w:r w:rsidR="0050033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，過程僅用了二十分鐘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就</w:t>
      </w:r>
      <w:r w:rsidR="0050033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達成協議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完成全部手續</w:t>
      </w:r>
      <w:r w:rsidR="0050033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，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地產</w:t>
      </w:r>
      <w:r w:rsidR="00500337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中介向消費者退回約三萬澳門元的款項。</w:t>
      </w:r>
    </w:p>
    <w:p w:rsidR="00500337" w:rsidRPr="00DC7A68" w:rsidRDefault="00500337" w:rsidP="00DC7A68">
      <w:pPr>
        <w:widowControl/>
        <w:adjustRightInd w:val="0"/>
        <w:snapToGrid w:val="0"/>
        <w:spacing w:beforeLines="50" w:before="180" w:afterLines="50" w:after="180" w:line="400" w:lineRule="atLeast"/>
        <w:jc w:val="both"/>
        <w:textAlignment w:val="center"/>
        <w:rPr>
          <w:rFonts w:asciiTheme="minorEastAsia" w:eastAsiaTheme="minorEastAsia" w:hAnsiTheme="minorEastAsia"/>
          <w:snapToGrid w:val="0"/>
          <w:kern w:val="24"/>
          <w:sz w:val="28"/>
          <w:szCs w:val="28"/>
        </w:rPr>
      </w:pPr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ab/>
        <w:t>兩會經十月底首次引用“跨境消費糾紛視頻調解機制”為澳門居民</w:t>
      </w:r>
      <w:proofErr w:type="gramStart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進行跨域調解</w:t>
      </w:r>
      <w:proofErr w:type="gramEnd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服務後，經檢視服務達到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了</w:t>
      </w:r>
      <w:r w:rsidR="00022DE6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便捷、高效</w:t>
      </w:r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的效果，認同有需要繼續深化有關合作，促進與加強兩地居民互動消費的頻率與信心。</w:t>
      </w:r>
    </w:p>
    <w:p w:rsidR="00A704B4" w:rsidRPr="00DC7A68" w:rsidRDefault="00500337" w:rsidP="00DC7A68">
      <w:pPr>
        <w:widowControl/>
        <w:adjustRightInd w:val="0"/>
        <w:snapToGrid w:val="0"/>
        <w:spacing w:beforeLines="50" w:before="180" w:afterLines="50" w:after="180" w:line="400" w:lineRule="atLeast"/>
        <w:jc w:val="both"/>
        <w:textAlignment w:val="center"/>
        <w:rPr>
          <w:rFonts w:asciiTheme="minorEastAsia" w:eastAsiaTheme="minorEastAsia" w:hAnsiTheme="minorEastAsia"/>
          <w:snapToGrid w:val="0"/>
          <w:kern w:val="24"/>
          <w:sz w:val="28"/>
          <w:szCs w:val="28"/>
        </w:rPr>
      </w:pPr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ab/>
        <w:t>消委會以先行先試的</w:t>
      </w:r>
      <w:proofErr w:type="gramStart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方式與粵港澳</w:t>
      </w:r>
      <w:proofErr w:type="gramEnd"/>
      <w:r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大灣區內消費者組織</w:t>
      </w:r>
      <w:proofErr w:type="gramStart"/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建立</w:t>
      </w:r>
      <w:r w:rsidR="0029699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跨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域</w:t>
      </w:r>
      <w:r w:rsidR="004947F9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仲裁</w:t>
      </w:r>
      <w:proofErr w:type="gramEnd"/>
      <w:r w:rsidR="004947F9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及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調解的合作關係，目前，灣區內與消委會</w:t>
      </w:r>
      <w:proofErr w:type="gramStart"/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實施跨域調解</w:t>
      </w:r>
      <w:proofErr w:type="gramEnd"/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服務的有</w:t>
      </w:r>
      <w:r w:rsidR="00C14896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廣州市、</w:t>
      </w:r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珠海市、江門市、佛山市、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橫琴</w:t>
      </w:r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新區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及香港特區</w:t>
      </w:r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的消費者組織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，消委會</w:t>
      </w:r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期望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在明年可以完成</w:t>
      </w:r>
      <w:r w:rsidR="0029699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建設</w:t>
      </w:r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整個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大灣區</w:t>
      </w:r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消費</w:t>
      </w:r>
      <w:proofErr w:type="gramStart"/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爭議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跨域</w:t>
      </w:r>
      <w:r w:rsidR="004947F9" w:rsidRPr="004947F9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仲裁</w:t>
      </w:r>
      <w:proofErr w:type="gramEnd"/>
      <w:r w:rsidR="004947F9" w:rsidRPr="004947F9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及調解</w:t>
      </w:r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合作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網絡</w:t>
      </w:r>
      <w:r w:rsidR="0029699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的</w:t>
      </w:r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工</w:t>
      </w:r>
      <w:bookmarkStart w:id="0" w:name="_GoBack"/>
      <w:bookmarkEnd w:id="0"/>
      <w:r w:rsidR="00050C78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作</w:t>
      </w:r>
      <w:r w:rsidR="0022140F" w:rsidRPr="00DC7A68">
        <w:rPr>
          <w:rFonts w:asciiTheme="minorEastAsia" w:eastAsiaTheme="minorEastAsia" w:hAnsiTheme="minorEastAsia" w:hint="eastAsia"/>
          <w:snapToGrid w:val="0"/>
          <w:kern w:val="24"/>
          <w:sz w:val="28"/>
          <w:szCs w:val="28"/>
        </w:rPr>
        <w:t>。</w:t>
      </w:r>
    </w:p>
    <w:sectPr w:rsidR="00A704B4" w:rsidRPr="00DC7A68" w:rsidSect="00AB152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BB"/>
    <w:rsid w:val="000066E3"/>
    <w:rsid w:val="00022DE6"/>
    <w:rsid w:val="00033207"/>
    <w:rsid w:val="0004369D"/>
    <w:rsid w:val="00050C78"/>
    <w:rsid w:val="00083673"/>
    <w:rsid w:val="000931E7"/>
    <w:rsid w:val="000D7EF9"/>
    <w:rsid w:val="000E4A2C"/>
    <w:rsid w:val="001024C7"/>
    <w:rsid w:val="001029D6"/>
    <w:rsid w:val="00104298"/>
    <w:rsid w:val="001577F4"/>
    <w:rsid w:val="00181DF6"/>
    <w:rsid w:val="00182AB5"/>
    <w:rsid w:val="0018608E"/>
    <w:rsid w:val="001A0E99"/>
    <w:rsid w:val="001A515A"/>
    <w:rsid w:val="001E1258"/>
    <w:rsid w:val="001F469F"/>
    <w:rsid w:val="001F5262"/>
    <w:rsid w:val="002122B4"/>
    <w:rsid w:val="002129D0"/>
    <w:rsid w:val="00220202"/>
    <w:rsid w:val="0022140F"/>
    <w:rsid w:val="00227FE9"/>
    <w:rsid w:val="00252B82"/>
    <w:rsid w:val="00256CF6"/>
    <w:rsid w:val="002626D0"/>
    <w:rsid w:val="00263C65"/>
    <w:rsid w:val="00296998"/>
    <w:rsid w:val="002B4267"/>
    <w:rsid w:val="002D49B8"/>
    <w:rsid w:val="002E0610"/>
    <w:rsid w:val="002E6A8E"/>
    <w:rsid w:val="00321E24"/>
    <w:rsid w:val="00324B11"/>
    <w:rsid w:val="0032725C"/>
    <w:rsid w:val="00344166"/>
    <w:rsid w:val="00396DFF"/>
    <w:rsid w:val="003C3455"/>
    <w:rsid w:val="003C4C23"/>
    <w:rsid w:val="003E30CF"/>
    <w:rsid w:val="003F098D"/>
    <w:rsid w:val="00402B71"/>
    <w:rsid w:val="004046EA"/>
    <w:rsid w:val="00423E88"/>
    <w:rsid w:val="004273FF"/>
    <w:rsid w:val="00427C6E"/>
    <w:rsid w:val="00441BAB"/>
    <w:rsid w:val="00444F8F"/>
    <w:rsid w:val="004525A1"/>
    <w:rsid w:val="00466BA1"/>
    <w:rsid w:val="004947F9"/>
    <w:rsid w:val="004A3E97"/>
    <w:rsid w:val="004A6693"/>
    <w:rsid w:val="004A7F7C"/>
    <w:rsid w:val="004F5F95"/>
    <w:rsid w:val="00500337"/>
    <w:rsid w:val="005046F7"/>
    <w:rsid w:val="005047AA"/>
    <w:rsid w:val="005640FD"/>
    <w:rsid w:val="005A1D3C"/>
    <w:rsid w:val="005B058A"/>
    <w:rsid w:val="005B455C"/>
    <w:rsid w:val="005B56DB"/>
    <w:rsid w:val="005E778A"/>
    <w:rsid w:val="005F1CA9"/>
    <w:rsid w:val="005F4908"/>
    <w:rsid w:val="00601F14"/>
    <w:rsid w:val="00603B51"/>
    <w:rsid w:val="006206C9"/>
    <w:rsid w:val="00631020"/>
    <w:rsid w:val="00644BC9"/>
    <w:rsid w:val="006476B5"/>
    <w:rsid w:val="006511FE"/>
    <w:rsid w:val="00651E0C"/>
    <w:rsid w:val="00676E5E"/>
    <w:rsid w:val="00685762"/>
    <w:rsid w:val="00687B6A"/>
    <w:rsid w:val="00690F84"/>
    <w:rsid w:val="0069459A"/>
    <w:rsid w:val="006B777A"/>
    <w:rsid w:val="006C3D61"/>
    <w:rsid w:val="006D2431"/>
    <w:rsid w:val="006D399F"/>
    <w:rsid w:val="006F506C"/>
    <w:rsid w:val="00701B2F"/>
    <w:rsid w:val="00701C44"/>
    <w:rsid w:val="0073249D"/>
    <w:rsid w:val="007332C3"/>
    <w:rsid w:val="00740CC5"/>
    <w:rsid w:val="00742B9D"/>
    <w:rsid w:val="0076567D"/>
    <w:rsid w:val="007A555D"/>
    <w:rsid w:val="007B5CBE"/>
    <w:rsid w:val="007D5217"/>
    <w:rsid w:val="007E4F94"/>
    <w:rsid w:val="00805952"/>
    <w:rsid w:val="00805CA4"/>
    <w:rsid w:val="00825D82"/>
    <w:rsid w:val="008301E1"/>
    <w:rsid w:val="0083170B"/>
    <w:rsid w:val="00844A91"/>
    <w:rsid w:val="00865B53"/>
    <w:rsid w:val="008A0475"/>
    <w:rsid w:val="008C1CF8"/>
    <w:rsid w:val="008C2A1C"/>
    <w:rsid w:val="008F7311"/>
    <w:rsid w:val="009007EE"/>
    <w:rsid w:val="00904D24"/>
    <w:rsid w:val="00910A75"/>
    <w:rsid w:val="00913122"/>
    <w:rsid w:val="00922069"/>
    <w:rsid w:val="00924C6E"/>
    <w:rsid w:val="00927318"/>
    <w:rsid w:val="00937063"/>
    <w:rsid w:val="00941DDD"/>
    <w:rsid w:val="009700F1"/>
    <w:rsid w:val="00980479"/>
    <w:rsid w:val="00980E24"/>
    <w:rsid w:val="009945E6"/>
    <w:rsid w:val="009B65FC"/>
    <w:rsid w:val="009E48CC"/>
    <w:rsid w:val="009F449C"/>
    <w:rsid w:val="00A108AD"/>
    <w:rsid w:val="00A624DA"/>
    <w:rsid w:val="00A63F0D"/>
    <w:rsid w:val="00A662C3"/>
    <w:rsid w:val="00A704B4"/>
    <w:rsid w:val="00A8207A"/>
    <w:rsid w:val="00A824AB"/>
    <w:rsid w:val="00A93150"/>
    <w:rsid w:val="00AA7DF8"/>
    <w:rsid w:val="00AB1522"/>
    <w:rsid w:val="00AB467C"/>
    <w:rsid w:val="00AD0758"/>
    <w:rsid w:val="00AD377C"/>
    <w:rsid w:val="00AD404A"/>
    <w:rsid w:val="00AE458B"/>
    <w:rsid w:val="00AE65C7"/>
    <w:rsid w:val="00AE74CB"/>
    <w:rsid w:val="00AF06FD"/>
    <w:rsid w:val="00AF0D67"/>
    <w:rsid w:val="00AF3378"/>
    <w:rsid w:val="00B121F9"/>
    <w:rsid w:val="00B24370"/>
    <w:rsid w:val="00B273C7"/>
    <w:rsid w:val="00B314EF"/>
    <w:rsid w:val="00B4430C"/>
    <w:rsid w:val="00B658E2"/>
    <w:rsid w:val="00B83839"/>
    <w:rsid w:val="00B9022D"/>
    <w:rsid w:val="00B957E9"/>
    <w:rsid w:val="00BA3AF8"/>
    <w:rsid w:val="00BA5692"/>
    <w:rsid w:val="00BB5DD9"/>
    <w:rsid w:val="00BD7D1F"/>
    <w:rsid w:val="00BE19BC"/>
    <w:rsid w:val="00BE29CF"/>
    <w:rsid w:val="00BE3BFA"/>
    <w:rsid w:val="00BF3183"/>
    <w:rsid w:val="00C0220E"/>
    <w:rsid w:val="00C0388E"/>
    <w:rsid w:val="00C12F5F"/>
    <w:rsid w:val="00C14896"/>
    <w:rsid w:val="00C702B5"/>
    <w:rsid w:val="00C73858"/>
    <w:rsid w:val="00C7544E"/>
    <w:rsid w:val="00C93624"/>
    <w:rsid w:val="00CA3D86"/>
    <w:rsid w:val="00CB3AB7"/>
    <w:rsid w:val="00CC5EB2"/>
    <w:rsid w:val="00CC7F48"/>
    <w:rsid w:val="00CE13C8"/>
    <w:rsid w:val="00D13C26"/>
    <w:rsid w:val="00D20C5D"/>
    <w:rsid w:val="00D261A7"/>
    <w:rsid w:val="00D265BB"/>
    <w:rsid w:val="00D50970"/>
    <w:rsid w:val="00D51538"/>
    <w:rsid w:val="00D62F53"/>
    <w:rsid w:val="00D64C98"/>
    <w:rsid w:val="00D661E7"/>
    <w:rsid w:val="00D73D40"/>
    <w:rsid w:val="00D9033C"/>
    <w:rsid w:val="00D92692"/>
    <w:rsid w:val="00DA6C82"/>
    <w:rsid w:val="00DC23D8"/>
    <w:rsid w:val="00DC7A68"/>
    <w:rsid w:val="00DD030E"/>
    <w:rsid w:val="00DD2879"/>
    <w:rsid w:val="00DD4F7A"/>
    <w:rsid w:val="00DD6CB9"/>
    <w:rsid w:val="00E15ED7"/>
    <w:rsid w:val="00E306DE"/>
    <w:rsid w:val="00E37AC0"/>
    <w:rsid w:val="00E50C8C"/>
    <w:rsid w:val="00E74CAC"/>
    <w:rsid w:val="00E92E0F"/>
    <w:rsid w:val="00E93E51"/>
    <w:rsid w:val="00E97E58"/>
    <w:rsid w:val="00EB0DC3"/>
    <w:rsid w:val="00EC6D0E"/>
    <w:rsid w:val="00ED75E1"/>
    <w:rsid w:val="00EF0517"/>
    <w:rsid w:val="00F03C55"/>
    <w:rsid w:val="00F2094E"/>
    <w:rsid w:val="00F2206B"/>
    <w:rsid w:val="00F32A95"/>
    <w:rsid w:val="00F665AA"/>
    <w:rsid w:val="00F773A1"/>
    <w:rsid w:val="00F93DEE"/>
    <w:rsid w:val="00FC12B7"/>
    <w:rsid w:val="00FC6FF0"/>
    <w:rsid w:val="00FC702E"/>
    <w:rsid w:val="00FD22B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eastAsia="Times New Roman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eastAsia="Times New Roman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EBCA-604C-4C7A-8878-6FAB7148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14</cp:revision>
  <cp:lastPrinted>2018-12-18T06:45:00Z</cp:lastPrinted>
  <dcterms:created xsi:type="dcterms:W3CDTF">2018-12-17T07:14:00Z</dcterms:created>
  <dcterms:modified xsi:type="dcterms:W3CDTF">2018-12-18T07:19:00Z</dcterms:modified>
</cp:coreProperties>
</file>