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0" w:rsidRPr="009A5513" w:rsidRDefault="008F744E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9A5513">
        <w:rPr>
          <w:rFonts w:hint="eastAsia"/>
          <w:b/>
          <w:snapToGrid w:val="0"/>
        </w:rPr>
        <w:t xml:space="preserve">　</w:t>
      </w:r>
      <w:r w:rsidR="00575CE0" w:rsidRPr="009A5513">
        <w:rPr>
          <w:rFonts w:hint="eastAsia"/>
          <w:b/>
          <w:snapToGrid w:val="0"/>
        </w:rPr>
        <w:t>消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費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者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委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員</w:t>
      </w:r>
      <w:r w:rsidR="00240F00" w:rsidRPr="009A5513">
        <w:rPr>
          <w:rFonts w:hint="eastAsia"/>
          <w:b/>
          <w:snapToGrid w:val="0"/>
        </w:rPr>
        <w:t xml:space="preserve"> </w:t>
      </w:r>
      <w:r w:rsidR="003D4469" w:rsidRPr="009A5513">
        <w:rPr>
          <w:rFonts w:hint="eastAsia"/>
          <w:b/>
          <w:snapToGrid w:val="0"/>
        </w:rPr>
        <w:t>會</w:t>
      </w:r>
    </w:p>
    <w:p w:rsidR="00575CE0" w:rsidRPr="009A5513" w:rsidRDefault="00575CE0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9A5513">
        <w:rPr>
          <w:rFonts w:hint="eastAsia"/>
          <w:b/>
          <w:snapToGrid w:val="0"/>
        </w:rPr>
        <w:t>新聞稿</w:t>
      </w:r>
    </w:p>
    <w:p w:rsidR="00575CE0" w:rsidRPr="009A5513" w:rsidRDefault="001160E6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9A5513">
        <w:rPr>
          <w:b/>
          <w:snapToGrid w:val="0"/>
        </w:rPr>
        <w:t>06</w:t>
      </w:r>
      <w:r w:rsidR="003D4469" w:rsidRPr="009A5513">
        <w:rPr>
          <w:rFonts w:hint="eastAsia"/>
          <w:b/>
          <w:snapToGrid w:val="0"/>
        </w:rPr>
        <w:t>-</w:t>
      </w:r>
      <w:r w:rsidR="00482877" w:rsidRPr="009A5513">
        <w:rPr>
          <w:rFonts w:hint="eastAsia"/>
          <w:b/>
          <w:snapToGrid w:val="0"/>
        </w:rPr>
        <w:t>0</w:t>
      </w:r>
      <w:r w:rsidRPr="009A5513">
        <w:rPr>
          <w:b/>
          <w:snapToGrid w:val="0"/>
        </w:rPr>
        <w:t>7</w:t>
      </w:r>
      <w:r w:rsidRPr="009A5513">
        <w:rPr>
          <w:rFonts w:hint="eastAsia"/>
          <w:b/>
          <w:snapToGrid w:val="0"/>
        </w:rPr>
        <w:t>-201</w:t>
      </w:r>
      <w:r w:rsidRPr="009A5513">
        <w:rPr>
          <w:b/>
          <w:snapToGrid w:val="0"/>
        </w:rPr>
        <w:t>8</w:t>
      </w:r>
    </w:p>
    <w:p w:rsidR="00575CE0" w:rsidRPr="009A5513" w:rsidRDefault="00575CE0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</w:p>
    <w:p w:rsidR="00C1140C" w:rsidRPr="009A5513" w:rsidRDefault="0060329C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9A5513">
        <w:rPr>
          <w:rFonts w:hint="eastAsia"/>
          <w:b/>
          <w:snapToGrid w:val="0"/>
        </w:rPr>
        <w:t>消委會</w:t>
      </w:r>
      <w:r w:rsidR="0013290B" w:rsidRPr="009A5513">
        <w:rPr>
          <w:rFonts w:hint="eastAsia"/>
          <w:b/>
          <w:snapToGrid w:val="0"/>
        </w:rPr>
        <w:t>上半年處理</w:t>
      </w:r>
      <w:r w:rsidR="00680E48" w:rsidRPr="009A5513">
        <w:rPr>
          <w:rFonts w:hint="eastAsia"/>
          <w:b/>
          <w:snapToGrid w:val="0"/>
        </w:rPr>
        <w:t>2,695</w:t>
      </w:r>
      <w:r w:rsidR="0013290B" w:rsidRPr="009A5513">
        <w:rPr>
          <w:rFonts w:hint="eastAsia"/>
          <w:b/>
          <w:snapToGrid w:val="0"/>
        </w:rPr>
        <w:t>宗個案</w:t>
      </w:r>
    </w:p>
    <w:p w:rsidR="00870EA6" w:rsidRPr="009A5513" w:rsidRDefault="00870EA6" w:rsidP="00435B4C">
      <w:pPr>
        <w:spacing w:beforeLines="20" w:before="72" w:afterLines="20" w:after="72" w:line="320" w:lineRule="atLeast"/>
        <w:jc w:val="both"/>
        <w:rPr>
          <w:rFonts w:ascii="細明體" w:eastAsia="細明體" w:hAnsi="細明體"/>
        </w:rPr>
      </w:pPr>
    </w:p>
    <w:p w:rsidR="00EF6191" w:rsidRPr="009A5513" w:rsidRDefault="009D09A9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</w:rPr>
      </w:pPr>
      <w:r w:rsidRPr="009A5513">
        <w:rPr>
          <w:rFonts w:ascii="細明體" w:eastAsia="細明體" w:hAnsi="細明體" w:hint="eastAsia"/>
        </w:rPr>
        <w:t>消費者委員會</w:t>
      </w:r>
      <w:r w:rsidR="001160E6" w:rsidRPr="009A5513">
        <w:rPr>
          <w:rFonts w:ascii="細明體" w:eastAsia="細明體" w:hAnsi="細明體"/>
        </w:rPr>
        <w:t>2018</w:t>
      </w:r>
      <w:r w:rsidRPr="009A5513">
        <w:rPr>
          <w:rFonts w:ascii="細明體" w:eastAsia="細明體" w:hAnsi="細明體" w:hint="eastAsia"/>
        </w:rPr>
        <w:t>年上半年</w:t>
      </w:r>
      <w:r w:rsidR="001160E6" w:rsidRPr="009A5513">
        <w:rPr>
          <w:rFonts w:ascii="細明體" w:eastAsia="細明體" w:hAnsi="細明體" w:hint="eastAsia"/>
        </w:rPr>
        <w:t>共處理2,695</w:t>
      </w:r>
      <w:r w:rsidR="00016216" w:rsidRPr="009A5513">
        <w:rPr>
          <w:rFonts w:ascii="細明體" w:eastAsia="細明體" w:hAnsi="細明體" w:hint="eastAsia"/>
        </w:rPr>
        <w:t>宗</w:t>
      </w:r>
      <w:r w:rsidR="001160E6" w:rsidRPr="009A5513">
        <w:rPr>
          <w:rFonts w:ascii="細明體" w:eastAsia="細明體" w:hAnsi="細明體" w:hint="eastAsia"/>
        </w:rPr>
        <w:t>個案，其中投訴個案有</w:t>
      </w:r>
      <w:r w:rsidR="001160E6" w:rsidRPr="009A5513">
        <w:rPr>
          <w:rFonts w:ascii="細明體" w:eastAsia="細明體" w:hAnsi="細明體"/>
        </w:rPr>
        <w:t>958</w:t>
      </w:r>
      <w:r w:rsidR="001160E6" w:rsidRPr="009A5513">
        <w:rPr>
          <w:rFonts w:ascii="細明體" w:eastAsia="細明體" w:hAnsi="細明體" w:hint="eastAsia"/>
        </w:rPr>
        <w:t>宗</w:t>
      </w:r>
      <w:r w:rsidRPr="009A5513">
        <w:rPr>
          <w:rFonts w:ascii="細明體" w:eastAsia="細明體" w:hAnsi="細明體" w:hint="eastAsia"/>
        </w:rPr>
        <w:t>，查詢及建議個案分</w:t>
      </w:r>
      <w:r w:rsidR="0007081A" w:rsidRPr="009A5513">
        <w:rPr>
          <w:rFonts w:ascii="細明體" w:eastAsia="細明體" w:hAnsi="細明體" w:hint="eastAsia"/>
        </w:rPr>
        <w:t>別</w:t>
      </w:r>
      <w:r w:rsidRPr="009A5513">
        <w:rPr>
          <w:rFonts w:ascii="細明體" w:eastAsia="細明體" w:hAnsi="細明體" w:hint="eastAsia"/>
        </w:rPr>
        <w:t>有</w:t>
      </w:r>
      <w:r w:rsidR="001160E6" w:rsidRPr="009A5513">
        <w:rPr>
          <w:rFonts w:ascii="細明體" w:eastAsia="細明體" w:hAnsi="細明體"/>
        </w:rPr>
        <w:t>1,</w:t>
      </w:r>
      <w:r w:rsidRPr="009A5513">
        <w:rPr>
          <w:rFonts w:ascii="細明體" w:eastAsia="細明體" w:hAnsi="細明體"/>
        </w:rPr>
        <w:t>7</w:t>
      </w:r>
      <w:r w:rsidR="001160E6" w:rsidRPr="009A5513">
        <w:rPr>
          <w:rFonts w:ascii="細明體" w:eastAsia="細明體" w:hAnsi="細明體"/>
        </w:rPr>
        <w:t>33</w:t>
      </w:r>
      <w:r w:rsidRPr="009A5513">
        <w:rPr>
          <w:rFonts w:ascii="細明體" w:eastAsia="細明體" w:hAnsi="細明體" w:hint="eastAsia"/>
        </w:rPr>
        <w:t>宗及</w:t>
      </w:r>
      <w:r w:rsidR="001160E6" w:rsidRPr="009A5513">
        <w:rPr>
          <w:rFonts w:ascii="細明體" w:eastAsia="細明體" w:hAnsi="細明體"/>
        </w:rPr>
        <w:t>4</w:t>
      </w:r>
      <w:r w:rsidRPr="009A5513">
        <w:rPr>
          <w:rFonts w:ascii="細明體" w:eastAsia="細明體" w:hAnsi="細明體" w:hint="eastAsia"/>
        </w:rPr>
        <w:t>宗。</w:t>
      </w:r>
    </w:p>
    <w:p w:rsidR="007742A9" w:rsidRPr="009A5513" w:rsidRDefault="007742A9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b/>
        </w:rPr>
      </w:pPr>
      <w:r w:rsidRPr="009A5513">
        <w:rPr>
          <w:rFonts w:ascii="細明體" w:eastAsia="細明體" w:hAnsi="細明體" w:hint="eastAsia"/>
          <w:b/>
        </w:rPr>
        <w:t>首五位投訴</w:t>
      </w:r>
      <w:proofErr w:type="gramStart"/>
      <w:r w:rsidR="00016216" w:rsidRPr="009A5513">
        <w:rPr>
          <w:rFonts w:ascii="細明體" w:eastAsia="細明體" w:hAnsi="細明體" w:hint="eastAsia"/>
          <w:b/>
        </w:rPr>
        <w:t>個案</w:t>
      </w:r>
      <w:r w:rsidR="00E73FFB" w:rsidRPr="009A5513">
        <w:rPr>
          <w:rFonts w:ascii="細明體" w:eastAsia="細明體" w:hAnsi="細明體" w:hint="eastAsia"/>
          <w:b/>
        </w:rPr>
        <w:t>共數</w:t>
      </w:r>
      <w:r w:rsidR="003B060E" w:rsidRPr="009A5513">
        <w:rPr>
          <w:rFonts w:ascii="細明體" w:eastAsia="細明體" w:hAnsi="細明體" w:hint="eastAsia"/>
          <w:b/>
        </w:rPr>
        <w:t>403</w:t>
      </w:r>
      <w:r w:rsidRPr="009A5513">
        <w:rPr>
          <w:rFonts w:ascii="細明體" w:eastAsia="細明體" w:hAnsi="細明體" w:hint="eastAsia"/>
          <w:b/>
        </w:rPr>
        <w:t>宗</w:t>
      </w:r>
      <w:proofErr w:type="gramEnd"/>
    </w:p>
    <w:p w:rsidR="005465C7" w:rsidRPr="009A5513" w:rsidRDefault="00E21A34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</w:rPr>
      </w:pPr>
      <w:r w:rsidRPr="009A5513">
        <w:rPr>
          <w:rFonts w:ascii="細明體" w:eastAsia="細明體" w:hAnsi="細明體" w:hint="eastAsia"/>
        </w:rPr>
        <w:t>首五位</w:t>
      </w:r>
      <w:r w:rsidR="009D09A9" w:rsidRPr="009A5513">
        <w:rPr>
          <w:rFonts w:ascii="細明體" w:eastAsia="細明體" w:hAnsi="細明體" w:hint="eastAsia"/>
        </w:rPr>
        <w:t>最多投訴</w:t>
      </w:r>
      <w:r w:rsidR="0007081A" w:rsidRPr="009A5513">
        <w:rPr>
          <w:rFonts w:ascii="細明體" w:eastAsia="細明體" w:hAnsi="細明體" w:hint="eastAsia"/>
        </w:rPr>
        <w:t>個案</w:t>
      </w:r>
      <w:r w:rsidR="0085391F" w:rsidRPr="009A5513">
        <w:rPr>
          <w:rFonts w:ascii="細明體" w:eastAsia="細明體" w:hAnsi="細明體" w:hint="eastAsia"/>
        </w:rPr>
        <w:t>數量的</w:t>
      </w:r>
      <w:r w:rsidRPr="009A5513">
        <w:rPr>
          <w:rFonts w:ascii="細明體" w:eastAsia="細明體" w:hAnsi="細明體" w:hint="eastAsia"/>
        </w:rPr>
        <w:t>項目</w:t>
      </w:r>
      <w:r w:rsidR="00545047" w:rsidRPr="009A5513">
        <w:rPr>
          <w:rFonts w:ascii="細明體" w:eastAsia="細明體" w:hAnsi="細明體" w:hint="eastAsia"/>
        </w:rPr>
        <w:t>依次是珠寶首飾</w:t>
      </w:r>
      <w:r w:rsidR="00545047" w:rsidRPr="009A5513">
        <w:rPr>
          <w:rFonts w:ascii="細明體" w:eastAsia="細明體" w:hAnsi="細明體"/>
        </w:rPr>
        <w:t>(</w:t>
      </w:r>
      <w:r w:rsidR="00545047" w:rsidRPr="009A5513">
        <w:rPr>
          <w:rFonts w:ascii="細明體" w:eastAsia="細明體" w:hAnsi="細明體" w:hint="eastAsia"/>
        </w:rPr>
        <w:t>100</w:t>
      </w:r>
      <w:r w:rsidR="009D09A9" w:rsidRPr="009A5513">
        <w:rPr>
          <w:rFonts w:ascii="細明體" w:eastAsia="細明體" w:hAnsi="細明體" w:hint="eastAsia"/>
        </w:rPr>
        <w:t>宗</w:t>
      </w:r>
      <w:r w:rsidR="009D09A9" w:rsidRPr="009A5513">
        <w:rPr>
          <w:rFonts w:ascii="細明體" w:eastAsia="細明體" w:hAnsi="細明體"/>
        </w:rPr>
        <w:t>)</w:t>
      </w:r>
      <w:r w:rsidR="009D09A9" w:rsidRPr="009A5513">
        <w:rPr>
          <w:rFonts w:ascii="細明體" w:eastAsia="細明體" w:hAnsi="細明體" w:hint="eastAsia"/>
        </w:rPr>
        <w:t>、</w:t>
      </w:r>
      <w:r w:rsidR="00545047" w:rsidRPr="009A5513">
        <w:rPr>
          <w:rFonts w:ascii="細明體" w:eastAsia="細明體" w:hAnsi="細明體" w:hint="eastAsia"/>
        </w:rPr>
        <w:t>房地產(88宗)</w:t>
      </w:r>
      <w:r w:rsidR="00545047" w:rsidRPr="009A5513">
        <w:rPr>
          <w:rFonts w:ascii="新細明體" w:hAnsi="新細明體" w:hint="eastAsia"/>
        </w:rPr>
        <w:t>、</w:t>
      </w:r>
      <w:r w:rsidR="00545047" w:rsidRPr="009A5513">
        <w:rPr>
          <w:rFonts w:ascii="細明體" w:eastAsia="細明體" w:hAnsi="細明體" w:hint="eastAsia"/>
        </w:rPr>
        <w:t>公共交通</w:t>
      </w:r>
      <w:r w:rsidR="00545047" w:rsidRPr="009A5513">
        <w:rPr>
          <w:rFonts w:ascii="細明體" w:eastAsia="細明體" w:hAnsi="細明體"/>
        </w:rPr>
        <w:t>(</w:t>
      </w:r>
      <w:r w:rsidR="00545047" w:rsidRPr="009A5513">
        <w:rPr>
          <w:rFonts w:ascii="細明體" w:eastAsia="細明體" w:hAnsi="細明體" w:hint="eastAsia"/>
        </w:rPr>
        <w:t>85宗</w:t>
      </w:r>
      <w:r w:rsidR="00545047" w:rsidRPr="009A5513">
        <w:rPr>
          <w:rFonts w:ascii="細明體" w:eastAsia="細明體" w:hAnsi="細明體"/>
        </w:rPr>
        <w:t>)</w:t>
      </w:r>
      <w:r w:rsidR="003B060E" w:rsidRPr="009A5513">
        <w:rPr>
          <w:rFonts w:ascii="新細明體" w:hAnsi="新細明體" w:hint="eastAsia"/>
          <w:b/>
        </w:rPr>
        <w:t xml:space="preserve"> 、</w:t>
      </w:r>
      <w:r w:rsidR="003B060E" w:rsidRPr="009A5513">
        <w:rPr>
          <w:rFonts w:ascii="新細明體" w:hAnsi="新細明體" w:hint="eastAsia"/>
        </w:rPr>
        <w:t>娛樂事業(67宗)以</w:t>
      </w:r>
      <w:r w:rsidR="00545047" w:rsidRPr="009A5513">
        <w:rPr>
          <w:rFonts w:ascii="細明體" w:eastAsia="細明體" w:hAnsi="細明體" w:hint="eastAsia"/>
        </w:rPr>
        <w:t>及飲食服務</w:t>
      </w:r>
      <w:r w:rsidR="00545047" w:rsidRPr="009A5513">
        <w:rPr>
          <w:rFonts w:ascii="細明體" w:eastAsia="細明體" w:hAnsi="細明體"/>
        </w:rPr>
        <w:t>(</w:t>
      </w:r>
      <w:r w:rsidR="00545047" w:rsidRPr="009A5513">
        <w:rPr>
          <w:rFonts w:ascii="細明體" w:eastAsia="細明體" w:hAnsi="細明體" w:hint="eastAsia"/>
        </w:rPr>
        <w:t>63</w:t>
      </w:r>
      <w:r w:rsidR="009D09A9" w:rsidRPr="009A5513">
        <w:rPr>
          <w:rFonts w:ascii="細明體" w:eastAsia="細明體" w:hAnsi="細明體" w:hint="eastAsia"/>
        </w:rPr>
        <w:t>宗</w:t>
      </w:r>
      <w:r w:rsidR="009D09A9" w:rsidRPr="009A5513">
        <w:rPr>
          <w:rFonts w:ascii="細明體" w:eastAsia="細明體" w:hAnsi="細明體"/>
        </w:rPr>
        <w:t>)</w:t>
      </w:r>
      <w:r w:rsidR="009D09A9" w:rsidRPr="009A5513">
        <w:rPr>
          <w:rFonts w:ascii="細明體" w:eastAsia="細明體" w:hAnsi="細明體" w:hint="eastAsia"/>
        </w:rPr>
        <w:t>，以上個案數量約</w:t>
      </w:r>
      <w:proofErr w:type="gramStart"/>
      <w:r w:rsidR="009D09A9" w:rsidRPr="009A5513">
        <w:rPr>
          <w:rFonts w:ascii="細明體" w:eastAsia="細明體" w:hAnsi="細明體" w:hint="eastAsia"/>
        </w:rPr>
        <w:t>佔</w:t>
      </w:r>
      <w:proofErr w:type="gramEnd"/>
      <w:r w:rsidR="009D09A9" w:rsidRPr="009A5513">
        <w:rPr>
          <w:rFonts w:ascii="細明體" w:eastAsia="細明體" w:hAnsi="細明體" w:hint="eastAsia"/>
        </w:rPr>
        <w:t>上半年投訴個案總數的四成</w:t>
      </w:r>
      <w:r w:rsidR="00D069E1" w:rsidRPr="009A5513">
        <w:rPr>
          <w:rFonts w:ascii="細明體" w:eastAsia="細明體" w:hAnsi="細明體" w:hint="eastAsia"/>
        </w:rPr>
        <w:t>二</w:t>
      </w:r>
      <w:r w:rsidR="009D09A9" w:rsidRPr="009A5513">
        <w:rPr>
          <w:rFonts w:ascii="細明體" w:eastAsia="細明體" w:hAnsi="細明體" w:hint="eastAsia"/>
        </w:rPr>
        <w:t>。</w:t>
      </w:r>
    </w:p>
    <w:p w:rsidR="00283725" w:rsidRPr="009A5513" w:rsidRDefault="00283725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新細明體" w:hAnsi="新細明體"/>
        </w:rPr>
      </w:pPr>
      <w:r w:rsidRPr="009A5513">
        <w:rPr>
          <w:rFonts w:ascii="細明體" w:eastAsia="細明體" w:hAnsi="細明體" w:hint="eastAsia"/>
        </w:rPr>
        <w:t>珠寶首飾</w:t>
      </w:r>
      <w:r w:rsidR="004D74C8" w:rsidRPr="009A5513">
        <w:rPr>
          <w:rFonts w:ascii="細明體" w:eastAsia="細明體" w:hAnsi="細明體" w:hint="eastAsia"/>
        </w:rPr>
        <w:t>的投訴</w:t>
      </w:r>
      <w:r w:rsidR="006E6F1F" w:rsidRPr="009A5513">
        <w:rPr>
          <w:rFonts w:ascii="細明體" w:eastAsia="細明體" w:hAnsi="細明體" w:hint="eastAsia"/>
        </w:rPr>
        <w:t>約八</w:t>
      </w:r>
      <w:r w:rsidRPr="009A5513">
        <w:rPr>
          <w:rFonts w:ascii="細明體" w:eastAsia="細明體" w:hAnsi="細明體" w:hint="eastAsia"/>
        </w:rPr>
        <w:t>成</w:t>
      </w:r>
      <w:r w:rsidR="00E73FFB" w:rsidRPr="009A5513">
        <w:rPr>
          <w:rFonts w:ascii="細明體" w:eastAsia="細明體" w:hAnsi="細明體" w:hint="eastAsia"/>
        </w:rPr>
        <w:t>個案</w:t>
      </w:r>
      <w:r w:rsidRPr="009A5513">
        <w:rPr>
          <w:rFonts w:ascii="細明體" w:eastAsia="細明體" w:hAnsi="細明體" w:hint="eastAsia"/>
        </w:rPr>
        <w:t>是涉</w:t>
      </w:r>
      <w:r w:rsidR="001866FE" w:rsidRPr="009A5513">
        <w:rPr>
          <w:rFonts w:ascii="細明體" w:eastAsia="細明體" w:hAnsi="細明體" w:hint="eastAsia"/>
        </w:rPr>
        <w:t>及</w:t>
      </w:r>
      <w:r w:rsidRPr="009A5513">
        <w:rPr>
          <w:rFonts w:ascii="細明體" w:eastAsia="細明體" w:hAnsi="細明體" w:hint="eastAsia"/>
        </w:rPr>
        <w:t>黃金首飾</w:t>
      </w:r>
      <w:r w:rsidR="00E73FFB" w:rsidRPr="009A5513">
        <w:rPr>
          <w:rFonts w:ascii="細明體" w:eastAsia="細明體" w:hAnsi="細明體" w:hint="eastAsia"/>
        </w:rPr>
        <w:t>的</w:t>
      </w:r>
      <w:r w:rsidRPr="009A5513">
        <w:rPr>
          <w:rFonts w:ascii="細明體" w:eastAsia="細明體" w:hAnsi="細明體" w:hint="eastAsia"/>
        </w:rPr>
        <w:t>交易</w:t>
      </w:r>
      <w:r w:rsidR="00E73FFB" w:rsidRPr="009A5513">
        <w:rPr>
          <w:rFonts w:ascii="細明體" w:eastAsia="細明體" w:hAnsi="細明體" w:hint="eastAsia"/>
        </w:rPr>
        <w:t>爭議</w:t>
      </w:r>
      <w:r w:rsidRPr="009A5513">
        <w:rPr>
          <w:rFonts w:ascii="細明體" w:eastAsia="細明體" w:hAnsi="細明體" w:hint="eastAsia"/>
        </w:rPr>
        <w:t>，</w:t>
      </w:r>
      <w:r w:rsidR="001866FE" w:rsidRPr="009A5513">
        <w:rPr>
          <w:rFonts w:ascii="細明體" w:eastAsia="細明體" w:hAnsi="細明體" w:hint="eastAsia"/>
        </w:rPr>
        <w:t>相關</w:t>
      </w:r>
      <w:r w:rsidR="006E6F1F" w:rsidRPr="009A5513">
        <w:rPr>
          <w:rFonts w:ascii="細明體" w:eastAsia="細明體" w:hAnsi="細明體" w:hint="eastAsia"/>
        </w:rPr>
        <w:t>個案</w:t>
      </w:r>
      <w:r w:rsidR="001866FE" w:rsidRPr="009A5513">
        <w:rPr>
          <w:rFonts w:ascii="細明體" w:eastAsia="細明體" w:hAnsi="細明體" w:hint="eastAsia"/>
        </w:rPr>
        <w:t>主要</w:t>
      </w:r>
      <w:r w:rsidR="003900CA" w:rsidRPr="009A5513">
        <w:rPr>
          <w:rFonts w:ascii="細明體" w:eastAsia="細明體" w:hAnsi="細明體" w:hint="eastAsia"/>
        </w:rPr>
        <w:t>與消費</w:t>
      </w:r>
      <w:r w:rsidR="00E73FFB" w:rsidRPr="009A5513">
        <w:rPr>
          <w:rFonts w:ascii="細明體" w:eastAsia="細明體" w:hAnsi="細明體" w:hint="eastAsia"/>
        </w:rPr>
        <w:t>者購買非足金首飾後，發生格價爭議與品質等</w:t>
      </w:r>
      <w:r w:rsidR="00EF688C" w:rsidRPr="009A5513">
        <w:rPr>
          <w:rFonts w:ascii="細明體" w:eastAsia="細明體" w:hAnsi="細明體" w:hint="eastAsia"/>
        </w:rPr>
        <w:t>投訴個案</w:t>
      </w:r>
      <w:r w:rsidR="003900CA" w:rsidRPr="009A5513">
        <w:rPr>
          <w:rFonts w:ascii="細明體" w:eastAsia="細明體" w:hAnsi="細明體" w:hint="eastAsia"/>
        </w:rPr>
        <w:t>，當中旅客</w:t>
      </w:r>
      <w:r w:rsidR="00BC2A67" w:rsidRPr="009A5513">
        <w:rPr>
          <w:rFonts w:ascii="細明體" w:eastAsia="細明體" w:hAnsi="細明體" w:hint="eastAsia"/>
        </w:rPr>
        <w:t>提出的</w:t>
      </w:r>
      <w:r w:rsidR="003900CA" w:rsidRPr="009A5513">
        <w:rPr>
          <w:rFonts w:ascii="細明體" w:eastAsia="細明體" w:hAnsi="細明體" w:hint="eastAsia"/>
        </w:rPr>
        <w:t>投訴個案</w:t>
      </w:r>
      <w:r w:rsidR="002C3FD8" w:rsidRPr="009A5513">
        <w:rPr>
          <w:rFonts w:ascii="細明體" w:eastAsia="細明體" w:hAnsi="細明體" w:hint="eastAsia"/>
        </w:rPr>
        <w:t>約有</w:t>
      </w:r>
      <w:r w:rsidR="00C7216F" w:rsidRPr="009A5513">
        <w:rPr>
          <w:rFonts w:ascii="細明體" w:eastAsia="細明體" w:hAnsi="細明體" w:hint="eastAsia"/>
        </w:rPr>
        <w:t>70</w:t>
      </w:r>
      <w:r w:rsidR="002C3FD8" w:rsidRPr="009A5513">
        <w:rPr>
          <w:rFonts w:ascii="細明體" w:eastAsia="細明體" w:hAnsi="細明體" w:hint="eastAsia"/>
        </w:rPr>
        <w:t>宗</w:t>
      </w:r>
      <w:r w:rsidR="00BC2A67" w:rsidRPr="009A5513">
        <w:rPr>
          <w:rFonts w:ascii="細明體" w:eastAsia="細明體" w:hAnsi="細明體" w:hint="eastAsia"/>
        </w:rPr>
        <w:t>，經協調後</w:t>
      </w:r>
      <w:r w:rsidR="00EF688C" w:rsidRPr="009A5513">
        <w:rPr>
          <w:rFonts w:ascii="細明體" w:eastAsia="細明體" w:hAnsi="細明體" w:hint="eastAsia"/>
        </w:rPr>
        <w:t>包括</w:t>
      </w:r>
      <w:r w:rsidR="00BC2A67" w:rsidRPr="009A5513">
        <w:rPr>
          <w:rFonts w:ascii="細明體" w:eastAsia="細明體" w:hAnsi="細明體" w:hint="eastAsia"/>
        </w:rPr>
        <w:t>提供退款</w:t>
      </w:r>
      <w:r w:rsidR="00BC2A67" w:rsidRPr="009A5513">
        <w:rPr>
          <w:rFonts w:ascii="新細明體" w:hAnsi="新細明體" w:hint="eastAsia"/>
        </w:rPr>
        <w:t>等解決方</w:t>
      </w:r>
      <w:r w:rsidR="00EF688C" w:rsidRPr="009A5513">
        <w:rPr>
          <w:rFonts w:ascii="新細明體" w:hAnsi="新細明體" w:hint="eastAsia"/>
        </w:rPr>
        <w:t>案。</w:t>
      </w:r>
      <w:r w:rsidR="004D74C8" w:rsidRPr="009A5513">
        <w:rPr>
          <w:rFonts w:ascii="新細明體" w:hAnsi="新細明體" w:hint="eastAsia"/>
        </w:rPr>
        <w:t>消委會提醒商號務必儘量</w:t>
      </w:r>
      <w:r w:rsidR="00BC2A67" w:rsidRPr="009A5513">
        <w:rPr>
          <w:rFonts w:ascii="新細明體" w:hAnsi="新細明體" w:hint="eastAsia"/>
        </w:rPr>
        <w:t>提高商品，特別</w:t>
      </w:r>
      <w:r w:rsidR="0080536D" w:rsidRPr="009A5513">
        <w:rPr>
          <w:rFonts w:ascii="新細明體" w:hAnsi="新細明體" w:hint="eastAsia"/>
        </w:rPr>
        <w:t>黃金</w:t>
      </w:r>
      <w:r w:rsidR="00BC2A67" w:rsidRPr="009A5513">
        <w:rPr>
          <w:rFonts w:ascii="新細明體" w:hAnsi="新細明體" w:hint="eastAsia"/>
        </w:rPr>
        <w:t>成色含量、</w:t>
      </w:r>
      <w:r w:rsidR="0080536D" w:rsidRPr="009A5513">
        <w:rPr>
          <w:rFonts w:ascii="新細明體" w:hAnsi="新細明體" w:hint="eastAsia"/>
        </w:rPr>
        <w:t>手工費及回購條款等</w:t>
      </w:r>
      <w:r w:rsidR="00E73FFB" w:rsidRPr="009A5513">
        <w:rPr>
          <w:rFonts w:ascii="新細明體" w:hAnsi="新細明體" w:hint="eastAsia"/>
        </w:rPr>
        <w:t>資訊的</w:t>
      </w:r>
      <w:r w:rsidR="0080536D" w:rsidRPr="009A5513">
        <w:rPr>
          <w:rFonts w:ascii="新細明體" w:hAnsi="新細明體" w:hint="eastAsia"/>
        </w:rPr>
        <w:t>說明，以免引起爭議，</w:t>
      </w:r>
      <w:proofErr w:type="gramStart"/>
      <w:r w:rsidR="0080536D" w:rsidRPr="009A5513">
        <w:rPr>
          <w:rFonts w:ascii="新細明體" w:hAnsi="新細明體" w:hint="eastAsia"/>
        </w:rPr>
        <w:t>維護本澳國際</w:t>
      </w:r>
      <w:proofErr w:type="gramEnd"/>
      <w:r w:rsidR="0080536D" w:rsidRPr="009A5513">
        <w:rPr>
          <w:rFonts w:ascii="新細明體" w:hAnsi="新細明體" w:hint="eastAsia"/>
        </w:rPr>
        <w:t>旅遊購物城市形象。</w:t>
      </w:r>
    </w:p>
    <w:p w:rsidR="008360A0" w:rsidRPr="009A5513" w:rsidRDefault="00293ED0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 w:hint="eastAsia"/>
        </w:rPr>
      </w:pPr>
      <w:r w:rsidRPr="009A5513">
        <w:rPr>
          <w:rFonts w:ascii="細明體" w:eastAsia="細明體" w:hAnsi="細明體" w:hint="eastAsia"/>
        </w:rPr>
        <w:t>房地產的投訴個案比2107年同期有明顯</w:t>
      </w:r>
      <w:r w:rsidR="008B5FBB" w:rsidRPr="009A5513">
        <w:rPr>
          <w:rFonts w:ascii="細明體" w:eastAsia="細明體" w:hAnsi="細明體" w:hint="eastAsia"/>
        </w:rPr>
        <w:t>的</w:t>
      </w:r>
      <w:r w:rsidRPr="009A5513">
        <w:rPr>
          <w:rFonts w:ascii="細明體" w:eastAsia="細明體" w:hAnsi="細明體" w:hint="eastAsia"/>
        </w:rPr>
        <w:t>增加，超過一半個案是</w:t>
      </w:r>
      <w:r w:rsidR="00D77124" w:rsidRPr="009A5513">
        <w:rPr>
          <w:rFonts w:ascii="細明體" w:eastAsia="細明體" w:hAnsi="細明體" w:hint="eastAsia"/>
        </w:rPr>
        <w:t>消費者在本地及內地置業的</w:t>
      </w:r>
      <w:r w:rsidR="00CE2639" w:rsidRPr="009A5513">
        <w:rPr>
          <w:rFonts w:ascii="細明體" w:eastAsia="細明體" w:hAnsi="細明體" w:hint="eastAsia"/>
        </w:rPr>
        <w:t>交易爭議</w:t>
      </w:r>
      <w:r w:rsidR="008360A0" w:rsidRPr="009A5513">
        <w:rPr>
          <w:rFonts w:ascii="細明體" w:eastAsia="細明體" w:hAnsi="細明體" w:hint="eastAsia"/>
        </w:rPr>
        <w:t>。</w:t>
      </w:r>
    </w:p>
    <w:p w:rsidR="008360A0" w:rsidRPr="009A5513" w:rsidRDefault="008360A0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 w:hint="eastAsia"/>
        </w:rPr>
      </w:pPr>
      <w:r w:rsidRPr="009A5513">
        <w:rPr>
          <w:rFonts w:ascii="細明體" w:eastAsia="細明體" w:hAnsi="細明體" w:hint="eastAsia"/>
        </w:rPr>
        <w:t>公共交通方面，有72宗</w:t>
      </w:r>
      <w:r w:rsidR="004D74C8" w:rsidRPr="009A5513">
        <w:rPr>
          <w:rFonts w:ascii="細明體" w:eastAsia="細明體" w:hAnsi="細明體" w:hint="eastAsia"/>
        </w:rPr>
        <w:t>個案</w:t>
      </w:r>
      <w:r w:rsidRPr="009A5513">
        <w:rPr>
          <w:rFonts w:ascii="細明體" w:eastAsia="細明體" w:hAnsi="細明體" w:hint="eastAsia"/>
        </w:rPr>
        <w:t>是投訴的士司機不按</w:t>
      </w:r>
      <w:proofErr w:type="gramStart"/>
      <w:r w:rsidRPr="009A5513">
        <w:rPr>
          <w:rFonts w:ascii="細明體" w:eastAsia="細明體" w:hAnsi="細明體" w:hint="eastAsia"/>
        </w:rPr>
        <w:t>咪錶</w:t>
      </w:r>
      <w:proofErr w:type="gramEnd"/>
      <w:r w:rsidRPr="009A5513">
        <w:rPr>
          <w:rFonts w:ascii="細明體" w:eastAsia="細明體" w:hAnsi="細明體" w:hint="eastAsia"/>
        </w:rPr>
        <w:t>收費、</w:t>
      </w:r>
      <w:proofErr w:type="gramStart"/>
      <w:r w:rsidRPr="009A5513">
        <w:rPr>
          <w:rFonts w:ascii="細明體" w:eastAsia="細明體" w:hAnsi="細明體" w:hint="eastAsia"/>
        </w:rPr>
        <w:t>兜路以及</w:t>
      </w:r>
      <w:proofErr w:type="gramEnd"/>
      <w:r w:rsidRPr="009A5513">
        <w:rPr>
          <w:rFonts w:ascii="細明體" w:eastAsia="細明體" w:hAnsi="細明體" w:hint="eastAsia"/>
        </w:rPr>
        <w:t>服務態度等問題，投訴的消費者中約七成是各地旅客，消委會已根據消費者提供的資料將個案轉至相關權限部門跟進處理。</w:t>
      </w:r>
    </w:p>
    <w:p w:rsidR="008B5FBB" w:rsidRPr="009A5513" w:rsidRDefault="00C43322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</w:rPr>
      </w:pPr>
      <w:r w:rsidRPr="009A5513">
        <w:rPr>
          <w:rFonts w:ascii="細明體" w:eastAsia="細明體" w:hAnsi="細明體" w:hint="eastAsia"/>
        </w:rPr>
        <w:t>娛樂事業投訴個案中有八成六</w:t>
      </w:r>
      <w:r w:rsidR="008360A0" w:rsidRPr="009A5513">
        <w:rPr>
          <w:rFonts w:ascii="細明體" w:eastAsia="細明體" w:hAnsi="細明體" w:hint="eastAsia"/>
        </w:rPr>
        <w:t>數量</w:t>
      </w:r>
      <w:r w:rsidRPr="009A5513">
        <w:rPr>
          <w:rFonts w:ascii="細明體" w:eastAsia="細明體" w:hAnsi="細明體" w:hint="eastAsia"/>
        </w:rPr>
        <w:t>是關於</w:t>
      </w:r>
      <w:r w:rsidR="001F576C" w:rsidRPr="009A5513">
        <w:rPr>
          <w:rFonts w:ascii="細明體" w:eastAsia="細明體" w:hAnsi="細明體" w:hint="eastAsia"/>
        </w:rPr>
        <w:t>同</w:t>
      </w:r>
      <w:r w:rsidRPr="009A5513">
        <w:rPr>
          <w:rFonts w:ascii="細明體" w:eastAsia="細明體" w:hAnsi="細明體" w:hint="eastAsia"/>
        </w:rPr>
        <w:t>一場</w:t>
      </w:r>
      <w:r w:rsidR="00D77124" w:rsidRPr="009A5513">
        <w:rPr>
          <w:rFonts w:ascii="細明體" w:eastAsia="細明體" w:hAnsi="細明體" w:hint="eastAsia"/>
        </w:rPr>
        <w:t>活</w:t>
      </w:r>
      <w:r w:rsidR="005915C5" w:rsidRPr="009A5513">
        <w:rPr>
          <w:rFonts w:ascii="細明體" w:eastAsia="細明體" w:hAnsi="細明體" w:hint="eastAsia"/>
        </w:rPr>
        <w:t>動</w:t>
      </w:r>
      <w:r w:rsidRPr="009A5513">
        <w:rPr>
          <w:rFonts w:ascii="細明體" w:eastAsia="細明體" w:hAnsi="細明體" w:hint="eastAsia"/>
        </w:rPr>
        <w:t>的延伸服務引致消費者</w:t>
      </w:r>
      <w:proofErr w:type="gramStart"/>
      <w:r w:rsidR="008360A0" w:rsidRPr="009A5513">
        <w:rPr>
          <w:rFonts w:ascii="細明體" w:eastAsia="細明體" w:hAnsi="細明體" w:hint="eastAsia"/>
        </w:rPr>
        <w:t>不滿，</w:t>
      </w:r>
      <w:proofErr w:type="gramEnd"/>
      <w:r w:rsidR="008360A0" w:rsidRPr="009A5513">
        <w:rPr>
          <w:rFonts w:ascii="細明體" w:eastAsia="細明體" w:hAnsi="細明體" w:hint="eastAsia"/>
        </w:rPr>
        <w:t>要求消委</w:t>
      </w:r>
      <w:r w:rsidRPr="009A5513">
        <w:rPr>
          <w:rFonts w:ascii="細明體" w:eastAsia="細明體" w:hAnsi="細明體" w:hint="eastAsia"/>
        </w:rPr>
        <w:t>會向主辦機構反映。</w:t>
      </w:r>
    </w:p>
    <w:p w:rsidR="007E2409" w:rsidRPr="009A5513" w:rsidRDefault="00371D4B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</w:rPr>
      </w:pPr>
      <w:r w:rsidRPr="009A5513">
        <w:rPr>
          <w:rFonts w:ascii="細明體" w:eastAsia="細明體" w:hAnsi="細明體" w:hint="eastAsia"/>
        </w:rPr>
        <w:t>上半年，</w:t>
      </w:r>
      <w:r w:rsidR="007E2409" w:rsidRPr="009A5513">
        <w:rPr>
          <w:rFonts w:ascii="細明體" w:eastAsia="細明體" w:hAnsi="細明體" w:hint="eastAsia"/>
        </w:rPr>
        <w:t>飲食服務</w:t>
      </w:r>
      <w:r w:rsidRPr="009A5513">
        <w:rPr>
          <w:rFonts w:ascii="細明體" w:eastAsia="細明體" w:hAnsi="細明體" w:hint="eastAsia"/>
        </w:rPr>
        <w:t>已錄得</w:t>
      </w:r>
      <w:r w:rsidRPr="009A5513">
        <w:rPr>
          <w:rFonts w:ascii="細明體" w:eastAsia="細明體" w:hAnsi="細明體"/>
        </w:rPr>
        <w:t>63</w:t>
      </w:r>
      <w:r w:rsidRPr="009A5513">
        <w:rPr>
          <w:rFonts w:ascii="細明體" w:eastAsia="細明體" w:hAnsi="細明體" w:hint="eastAsia"/>
        </w:rPr>
        <w:t>宗的投訴個案，已接近2017年全年投訴個案四分三</w:t>
      </w:r>
      <w:r w:rsidR="00EF688C" w:rsidRPr="009A5513">
        <w:rPr>
          <w:rFonts w:ascii="細明體" w:eastAsia="細明體" w:hAnsi="細明體" w:hint="eastAsia"/>
        </w:rPr>
        <w:t>的</w:t>
      </w:r>
      <w:r w:rsidRPr="009A5513">
        <w:rPr>
          <w:rFonts w:ascii="細明體" w:eastAsia="細明體" w:hAnsi="細明體" w:hint="eastAsia"/>
        </w:rPr>
        <w:t>數量，主要都是價格的爭議，當中亦涉及節假日</w:t>
      </w:r>
      <w:r w:rsidR="008360A0" w:rsidRPr="009A5513">
        <w:rPr>
          <w:rFonts w:ascii="細明體" w:eastAsia="細明體" w:hAnsi="細明體" w:hint="eastAsia"/>
        </w:rPr>
        <w:t>食肆</w:t>
      </w:r>
      <w:r w:rsidRPr="009A5513">
        <w:rPr>
          <w:rFonts w:ascii="細明體" w:eastAsia="細明體" w:hAnsi="細明體" w:hint="eastAsia"/>
        </w:rPr>
        <w:t>增加各名目收費的問題，相關個案</w:t>
      </w:r>
      <w:r w:rsidR="00F05170" w:rsidRPr="009A5513">
        <w:rPr>
          <w:rFonts w:ascii="細明體" w:eastAsia="細明體" w:hAnsi="細明體" w:hint="eastAsia"/>
        </w:rPr>
        <w:t>已</w:t>
      </w:r>
      <w:r w:rsidRPr="009A5513">
        <w:rPr>
          <w:rFonts w:ascii="細明體" w:eastAsia="細明體" w:hAnsi="細明體" w:hint="eastAsia"/>
        </w:rPr>
        <w:t>轉權限部門調查處理</w:t>
      </w:r>
      <w:r w:rsidRPr="009A5513">
        <w:rPr>
          <w:rFonts w:ascii="新細明體" w:hAnsi="新細明體" w:hint="eastAsia"/>
        </w:rPr>
        <w:t>。</w:t>
      </w:r>
    </w:p>
    <w:p w:rsidR="0027105D" w:rsidRPr="009A5513" w:rsidRDefault="00E64D6B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b/>
        </w:rPr>
      </w:pPr>
      <w:r w:rsidRPr="009A5513">
        <w:rPr>
          <w:rFonts w:ascii="細明體" w:eastAsia="細明體" w:hAnsi="細明體" w:hint="eastAsia"/>
          <w:b/>
        </w:rPr>
        <w:t>加強消費錦囊宣傳工作</w:t>
      </w:r>
    </w:p>
    <w:p w:rsidR="00C7216F" w:rsidRPr="009A5513" w:rsidRDefault="00C7216F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新細明體" w:hAnsi="新細明體"/>
        </w:rPr>
      </w:pPr>
      <w:r w:rsidRPr="009A5513">
        <w:rPr>
          <w:rFonts w:ascii="細明體" w:eastAsia="細明體" w:hAnsi="細明體" w:hint="eastAsia"/>
        </w:rPr>
        <w:t>就旅客</w:t>
      </w:r>
      <w:r w:rsidR="00EF688C" w:rsidRPr="009A5513">
        <w:rPr>
          <w:rFonts w:ascii="細明體" w:eastAsia="細明體" w:hAnsi="細明體" w:hint="eastAsia"/>
        </w:rPr>
        <w:t>有</w:t>
      </w:r>
      <w:r w:rsidRPr="009A5513">
        <w:rPr>
          <w:rFonts w:ascii="細明體" w:eastAsia="細明體" w:hAnsi="細明體" w:hint="eastAsia"/>
        </w:rPr>
        <w:t>較多投訴的</w:t>
      </w:r>
      <w:r w:rsidR="00EF688C" w:rsidRPr="009A5513">
        <w:rPr>
          <w:rFonts w:ascii="細明體" w:eastAsia="細明體" w:hAnsi="細明體" w:hint="eastAsia"/>
        </w:rPr>
        <w:t>問題</w:t>
      </w:r>
      <w:r w:rsidRPr="009A5513">
        <w:rPr>
          <w:rFonts w:ascii="細明體" w:eastAsia="細明體" w:hAnsi="細明體" w:hint="eastAsia"/>
        </w:rPr>
        <w:t>，當中涉及多方因素，</w:t>
      </w:r>
      <w:r w:rsidR="001F576C" w:rsidRPr="009A5513">
        <w:rPr>
          <w:rFonts w:ascii="細明體" w:eastAsia="細明體" w:hAnsi="細明體" w:hint="eastAsia"/>
        </w:rPr>
        <w:t>或</w:t>
      </w:r>
      <w:r w:rsidRPr="009A5513">
        <w:rPr>
          <w:rFonts w:ascii="細明體" w:eastAsia="細明體" w:hAnsi="細明體" w:hint="eastAsia"/>
        </w:rPr>
        <w:t>與商號的營商手法</w:t>
      </w:r>
      <w:r w:rsidRPr="009A5513">
        <w:rPr>
          <w:rFonts w:ascii="新細明體" w:hAnsi="新細明體" w:hint="eastAsia"/>
        </w:rPr>
        <w:t>、</w:t>
      </w:r>
      <w:r w:rsidRPr="009A5513">
        <w:rPr>
          <w:rFonts w:ascii="細明體" w:eastAsia="細明體" w:hAnsi="細明體" w:hint="eastAsia"/>
        </w:rPr>
        <w:t>交易過程</w:t>
      </w:r>
      <w:r w:rsidR="007F2D13">
        <w:rPr>
          <w:rFonts w:ascii="細明體" w:eastAsia="細明體" w:hAnsi="細明體" w:hint="eastAsia"/>
        </w:rPr>
        <w:t>中消費者未能掌握</w:t>
      </w:r>
      <w:r w:rsidRPr="009A5513">
        <w:rPr>
          <w:rFonts w:ascii="細明體" w:eastAsia="細明體" w:hAnsi="細明體" w:hint="eastAsia"/>
        </w:rPr>
        <w:t>充份</w:t>
      </w:r>
      <w:r w:rsidR="007F2D13">
        <w:rPr>
          <w:rFonts w:ascii="細明體" w:eastAsia="細明體" w:hAnsi="細明體" w:hint="eastAsia"/>
        </w:rPr>
        <w:t>的資訊</w:t>
      </w:r>
      <w:r w:rsidRPr="009A5513">
        <w:rPr>
          <w:rFonts w:ascii="新細明體" w:hAnsi="新細明體" w:hint="eastAsia"/>
        </w:rPr>
        <w:t>、</w:t>
      </w:r>
      <w:r w:rsidRPr="009A5513">
        <w:rPr>
          <w:rFonts w:ascii="細明體" w:eastAsia="細明體" w:hAnsi="細明體" w:hint="eastAsia"/>
        </w:rPr>
        <w:t>消費文化</w:t>
      </w:r>
      <w:r w:rsidR="001F576C" w:rsidRPr="009A5513">
        <w:rPr>
          <w:rFonts w:ascii="細明體" w:eastAsia="細明體" w:hAnsi="細明體" w:hint="eastAsia"/>
        </w:rPr>
        <w:t>差異</w:t>
      </w:r>
      <w:r w:rsidR="007F2D13">
        <w:rPr>
          <w:rFonts w:ascii="細明體" w:eastAsia="細明體" w:hAnsi="細明體" w:hint="eastAsia"/>
        </w:rPr>
        <w:t>等</w:t>
      </w:r>
      <w:r w:rsidR="001F576C" w:rsidRPr="009A5513">
        <w:rPr>
          <w:rFonts w:ascii="細明體" w:eastAsia="細明體" w:hAnsi="細明體" w:hint="eastAsia"/>
        </w:rPr>
        <w:t>都有</w:t>
      </w:r>
      <w:r w:rsidR="00EF688C" w:rsidRPr="009A5513">
        <w:rPr>
          <w:rFonts w:ascii="細明體" w:eastAsia="細明體" w:hAnsi="細明體" w:hint="eastAsia"/>
        </w:rPr>
        <w:t>其</w:t>
      </w:r>
      <w:r w:rsidR="00F41852" w:rsidRPr="009A5513">
        <w:rPr>
          <w:rFonts w:ascii="細明體" w:eastAsia="細明體" w:hAnsi="細明體" w:hint="eastAsia"/>
        </w:rPr>
        <w:t>關係，為此，消委會加強宣傳“來澳旅遊消費錦囊”</w:t>
      </w:r>
      <w:r w:rsidR="001F576C" w:rsidRPr="009A5513">
        <w:rPr>
          <w:rFonts w:ascii="細明體" w:eastAsia="細明體" w:hAnsi="細明體" w:hint="eastAsia"/>
        </w:rPr>
        <w:t>的工作，並獲內地各省</w:t>
      </w:r>
      <w:r w:rsidR="001F576C" w:rsidRPr="009A5513">
        <w:rPr>
          <w:rFonts w:ascii="新細明體" w:hAnsi="新細明體" w:hint="eastAsia"/>
        </w:rPr>
        <w:t>、</w:t>
      </w:r>
      <w:r w:rsidR="001F576C" w:rsidRPr="009A5513">
        <w:rPr>
          <w:rFonts w:ascii="細明體" w:eastAsia="細明體" w:hAnsi="細明體" w:hint="eastAsia"/>
        </w:rPr>
        <w:t>市消費者組織的配合，</w:t>
      </w:r>
      <w:r w:rsidR="0027105D" w:rsidRPr="009A5513">
        <w:rPr>
          <w:rFonts w:ascii="細明體" w:eastAsia="細明體" w:hAnsi="細明體" w:hint="eastAsia"/>
        </w:rPr>
        <w:t>能夠更</w:t>
      </w:r>
      <w:r w:rsidR="001F576C" w:rsidRPr="009A5513">
        <w:rPr>
          <w:rFonts w:ascii="細明體" w:eastAsia="細明體" w:hAnsi="細明體" w:hint="eastAsia"/>
        </w:rPr>
        <w:t>廣泛</w:t>
      </w:r>
      <w:bookmarkStart w:id="0" w:name="_GoBack"/>
      <w:bookmarkEnd w:id="0"/>
      <w:r w:rsidR="001F576C" w:rsidRPr="009A5513">
        <w:rPr>
          <w:rFonts w:ascii="細明體" w:eastAsia="細明體" w:hAnsi="細明體" w:hint="eastAsia"/>
        </w:rPr>
        <w:t>在內地</w:t>
      </w:r>
      <w:r w:rsidR="0027105D" w:rsidRPr="009A5513">
        <w:rPr>
          <w:rFonts w:ascii="細明體" w:eastAsia="細明體" w:hAnsi="細明體" w:hint="eastAsia"/>
        </w:rPr>
        <w:t>作出轉載</w:t>
      </w:r>
      <w:r w:rsidR="001F576C" w:rsidRPr="009A5513">
        <w:rPr>
          <w:rFonts w:ascii="細明體" w:eastAsia="細明體" w:hAnsi="細明體" w:hint="eastAsia"/>
        </w:rPr>
        <w:t>及報導，讓旅</w:t>
      </w:r>
      <w:r w:rsidR="0027105D" w:rsidRPr="009A5513">
        <w:rPr>
          <w:rFonts w:ascii="細明體" w:eastAsia="細明體" w:hAnsi="細明體" w:hint="eastAsia"/>
        </w:rPr>
        <w:t>客</w:t>
      </w:r>
      <w:r w:rsidR="001F576C" w:rsidRPr="009A5513">
        <w:rPr>
          <w:rFonts w:ascii="細明體" w:eastAsia="細明體" w:hAnsi="細明體" w:hint="eastAsia"/>
        </w:rPr>
        <w:t>來澳購物前有更多的參考資料</w:t>
      </w:r>
      <w:r w:rsidR="00F41852" w:rsidRPr="009A5513">
        <w:rPr>
          <w:rFonts w:ascii="新細明體" w:hAnsi="新細明體" w:hint="eastAsia"/>
        </w:rPr>
        <w:t>。</w:t>
      </w:r>
    </w:p>
    <w:p w:rsidR="0027105D" w:rsidRPr="009A5513" w:rsidRDefault="00F41852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新細明體" w:hAnsi="新細明體"/>
        </w:rPr>
      </w:pPr>
      <w:r w:rsidRPr="009A5513">
        <w:rPr>
          <w:rFonts w:ascii="細明體" w:eastAsia="細明體" w:hAnsi="細明體" w:hint="eastAsia"/>
        </w:rPr>
        <w:t>“</w:t>
      </w:r>
      <w:r w:rsidR="001F576C" w:rsidRPr="009A5513">
        <w:rPr>
          <w:rFonts w:ascii="細明體" w:eastAsia="細明體" w:hAnsi="細明體" w:hint="eastAsia"/>
        </w:rPr>
        <w:t>來澳</w:t>
      </w:r>
      <w:r w:rsidRPr="009A5513">
        <w:rPr>
          <w:rFonts w:ascii="細明體" w:eastAsia="細明體" w:hAnsi="細明體" w:hint="eastAsia"/>
        </w:rPr>
        <w:t>旅遊</w:t>
      </w:r>
      <w:r w:rsidR="001F576C" w:rsidRPr="009A5513">
        <w:rPr>
          <w:rFonts w:ascii="細明體" w:eastAsia="細明體" w:hAnsi="細明體" w:hint="eastAsia"/>
        </w:rPr>
        <w:t>消費錦囊”包括提示旅客在澳購買黃金首飾</w:t>
      </w:r>
      <w:r w:rsidR="001F576C" w:rsidRPr="009A5513">
        <w:rPr>
          <w:rFonts w:ascii="新細明體" w:hAnsi="新細明體" w:hint="eastAsia"/>
        </w:rPr>
        <w:t>、</w:t>
      </w:r>
      <w:r w:rsidR="0027105D" w:rsidRPr="009A5513">
        <w:rPr>
          <w:rFonts w:ascii="新細明體" w:hAnsi="新細明體" w:hint="eastAsia"/>
        </w:rPr>
        <w:t>鐘錶、</w:t>
      </w:r>
      <w:r w:rsidR="001F576C" w:rsidRPr="009A5513">
        <w:rPr>
          <w:rFonts w:ascii="細明體" w:eastAsia="細明體" w:hAnsi="細明體" w:hint="eastAsia"/>
        </w:rPr>
        <w:t>手機</w:t>
      </w:r>
      <w:r w:rsidR="001F576C" w:rsidRPr="009A5513">
        <w:rPr>
          <w:rFonts w:ascii="新細明體" w:hAnsi="新細明體" w:hint="eastAsia"/>
        </w:rPr>
        <w:t>等商品，光顧食肆</w:t>
      </w:r>
      <w:r w:rsidR="0027105D" w:rsidRPr="009A5513">
        <w:rPr>
          <w:rFonts w:ascii="新細明體" w:hAnsi="新細明體" w:hint="eastAsia"/>
        </w:rPr>
        <w:t>、</w:t>
      </w:r>
      <w:r w:rsidR="001F576C" w:rsidRPr="009A5513">
        <w:rPr>
          <w:rFonts w:ascii="新細明體" w:hAnsi="新細明體" w:hint="eastAsia"/>
        </w:rPr>
        <w:t>乘搭計程車須知</w:t>
      </w:r>
      <w:r w:rsidR="0027105D" w:rsidRPr="009A5513">
        <w:rPr>
          <w:rFonts w:ascii="新細明體" w:hAnsi="新細明體" w:hint="eastAsia"/>
        </w:rPr>
        <w:t>、介紹“誠信店”優質標誌計劃</w:t>
      </w:r>
      <w:r w:rsidR="001F576C" w:rsidRPr="009A5513">
        <w:rPr>
          <w:rFonts w:ascii="新細明體" w:hAnsi="新細明體" w:hint="eastAsia"/>
        </w:rPr>
        <w:t>，</w:t>
      </w:r>
      <w:r w:rsidR="0027105D" w:rsidRPr="009A5513">
        <w:rPr>
          <w:rFonts w:ascii="新細明體" w:hAnsi="新細明體" w:hint="eastAsia"/>
        </w:rPr>
        <w:t>以及相關部門的查詢或投訴電話熱線號碼，該錦囊亦</w:t>
      </w:r>
      <w:proofErr w:type="gramStart"/>
      <w:r w:rsidR="0027105D" w:rsidRPr="009A5513">
        <w:rPr>
          <w:rFonts w:ascii="新細明體" w:hAnsi="新細明體" w:hint="eastAsia"/>
        </w:rPr>
        <w:t>適用本澳消費者</w:t>
      </w:r>
      <w:proofErr w:type="gramEnd"/>
      <w:r w:rsidR="0027105D" w:rsidRPr="009A5513">
        <w:rPr>
          <w:rFonts w:ascii="新細明體" w:hAnsi="新細明體" w:hint="eastAsia"/>
        </w:rPr>
        <w:t>參考</w:t>
      </w:r>
      <w:r w:rsidR="00EF688C" w:rsidRPr="009A5513">
        <w:rPr>
          <w:rFonts w:ascii="新細明體" w:hAnsi="新細明體" w:hint="eastAsia"/>
        </w:rPr>
        <w:t>與</w:t>
      </w:r>
      <w:r w:rsidR="0027105D" w:rsidRPr="009A5513">
        <w:rPr>
          <w:rFonts w:ascii="新細明體" w:hAnsi="新細明體" w:hint="eastAsia"/>
        </w:rPr>
        <w:t>使用，</w:t>
      </w:r>
      <w:r w:rsidR="00EF688C" w:rsidRPr="009A5513">
        <w:rPr>
          <w:rFonts w:ascii="新細明體" w:hAnsi="新細明體" w:hint="eastAsia"/>
        </w:rPr>
        <w:t>並</w:t>
      </w:r>
      <w:r w:rsidR="0027105D" w:rsidRPr="009A5513">
        <w:rPr>
          <w:rFonts w:ascii="新細明體" w:hAnsi="新細明體" w:hint="eastAsia"/>
        </w:rPr>
        <w:t>已上載在消委會網站</w:t>
      </w:r>
      <w:proofErr w:type="gramStart"/>
      <w:r w:rsidR="0027105D" w:rsidRPr="009A5513">
        <w:rPr>
          <w:rFonts w:ascii="新細明體" w:hAnsi="新細明體" w:hint="eastAsia"/>
        </w:rPr>
        <w:t>（</w:t>
      </w:r>
      <w:proofErr w:type="gramEnd"/>
      <w:r w:rsidR="0027105D" w:rsidRPr="009A5513">
        <w:rPr>
          <w:rFonts w:ascii="新細明體" w:hAnsi="新細明體" w:hint="eastAsia"/>
        </w:rPr>
        <w:t>www.consumer.gov.mo</w:t>
      </w:r>
      <w:proofErr w:type="gramStart"/>
      <w:r w:rsidR="0027105D" w:rsidRPr="009A5513">
        <w:rPr>
          <w:rFonts w:ascii="新細明體" w:hAnsi="新細明體" w:hint="eastAsia"/>
        </w:rPr>
        <w:t>）</w:t>
      </w:r>
      <w:proofErr w:type="gramEnd"/>
      <w:r w:rsidR="0027105D" w:rsidRPr="009A5513">
        <w:rPr>
          <w:rFonts w:ascii="新細明體" w:hAnsi="新細明體" w:hint="eastAsia"/>
        </w:rPr>
        <w:t>及微信</w:t>
      </w:r>
      <w:r w:rsidR="00D77124" w:rsidRPr="009A5513">
        <w:rPr>
          <w:rFonts w:ascii="新細明體" w:hAnsi="新細明體" w:hint="eastAsia"/>
        </w:rPr>
        <w:t>號</w:t>
      </w:r>
      <w:r w:rsidR="0027105D" w:rsidRPr="009A5513">
        <w:rPr>
          <w:rFonts w:ascii="新細明體" w:hAnsi="新細明體" w:hint="eastAsia"/>
        </w:rPr>
        <w:t>內。</w:t>
      </w:r>
    </w:p>
    <w:p w:rsidR="00DE6001" w:rsidRPr="009A5513" w:rsidRDefault="00DE6001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新細明體" w:hAnsi="新細明體"/>
        </w:rPr>
      </w:pPr>
      <w:r w:rsidRPr="009A5513">
        <w:rPr>
          <w:rFonts w:ascii="新細明體" w:hAnsi="新細明體" w:hint="eastAsia"/>
        </w:rPr>
        <w:t>與此同時，消委會</w:t>
      </w:r>
      <w:r w:rsidR="00EF688C" w:rsidRPr="009A5513">
        <w:rPr>
          <w:rFonts w:ascii="新細明體" w:hAnsi="新細明體" w:hint="eastAsia"/>
        </w:rPr>
        <w:t>已</w:t>
      </w:r>
      <w:r w:rsidRPr="009A5513">
        <w:rPr>
          <w:rFonts w:ascii="新細明體" w:hAnsi="新細明體" w:hint="eastAsia"/>
        </w:rPr>
        <w:t>通過</w:t>
      </w:r>
      <w:r w:rsidR="00F41852" w:rsidRPr="009A5513">
        <w:rPr>
          <w:rFonts w:ascii="新細明體" w:hAnsi="新細明體" w:hint="eastAsia"/>
        </w:rPr>
        <w:t>與</w:t>
      </w:r>
      <w:r w:rsidRPr="009A5513">
        <w:rPr>
          <w:rFonts w:ascii="新細明體" w:hAnsi="新細明體" w:hint="eastAsia"/>
        </w:rPr>
        <w:t>各行業商會</w:t>
      </w:r>
      <w:r w:rsidR="00F41852" w:rsidRPr="009A5513">
        <w:rPr>
          <w:rFonts w:ascii="新細明體" w:hAnsi="新細明體" w:hint="eastAsia"/>
        </w:rPr>
        <w:t>溝通</w:t>
      </w:r>
      <w:r w:rsidRPr="009A5513">
        <w:rPr>
          <w:rFonts w:ascii="新細明體" w:hAnsi="新細明體" w:hint="eastAsia"/>
        </w:rPr>
        <w:t>，要求</w:t>
      </w:r>
      <w:r w:rsidR="00EF688C" w:rsidRPr="009A5513">
        <w:rPr>
          <w:rFonts w:ascii="新細明體" w:hAnsi="新細明體" w:hint="eastAsia"/>
        </w:rPr>
        <w:t>其會員</w:t>
      </w:r>
      <w:r w:rsidRPr="009A5513">
        <w:rPr>
          <w:rFonts w:ascii="新細明體" w:hAnsi="新細明體" w:hint="eastAsia"/>
        </w:rPr>
        <w:t>商號提高商品與服務的訊息透明度，</w:t>
      </w:r>
      <w:r w:rsidR="00EF688C" w:rsidRPr="009A5513">
        <w:rPr>
          <w:rFonts w:ascii="新細明體" w:hAnsi="新細明體" w:hint="eastAsia"/>
        </w:rPr>
        <w:t>達到</w:t>
      </w:r>
      <w:r w:rsidRPr="009A5513">
        <w:rPr>
          <w:rFonts w:ascii="新細明體" w:hAnsi="新細明體" w:hint="eastAsia"/>
        </w:rPr>
        <w:t>保障消費者訊息</w:t>
      </w:r>
      <w:r w:rsidR="00EF688C" w:rsidRPr="009A5513">
        <w:rPr>
          <w:rFonts w:ascii="新細明體" w:hAnsi="新細明體" w:hint="eastAsia"/>
        </w:rPr>
        <w:t>權、以及</w:t>
      </w:r>
      <w:r w:rsidRPr="009A5513">
        <w:rPr>
          <w:rFonts w:ascii="新細明體" w:hAnsi="新細明體" w:hint="eastAsia"/>
        </w:rPr>
        <w:t>增加消費者的信心，避免發生誤會。</w:t>
      </w:r>
    </w:p>
    <w:p w:rsidR="00F57CDE" w:rsidRPr="009A5513" w:rsidRDefault="00A62AA3" w:rsidP="00435B4C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新細明體" w:hAnsi="新細明體"/>
        </w:rPr>
      </w:pPr>
      <w:r w:rsidRPr="009A5513">
        <w:rPr>
          <w:rFonts w:ascii="新細明體" w:hAnsi="新細明體" w:hint="eastAsia"/>
        </w:rPr>
        <w:t>消委會</w:t>
      </w:r>
      <w:r w:rsidR="00E409EB" w:rsidRPr="009A5513">
        <w:rPr>
          <w:rFonts w:ascii="新細明體" w:hAnsi="新細明體" w:hint="eastAsia"/>
        </w:rPr>
        <w:t>201</w:t>
      </w:r>
      <w:r w:rsidR="003B722D" w:rsidRPr="009A5513">
        <w:rPr>
          <w:rFonts w:ascii="新細明體" w:hAnsi="新細明體" w:hint="eastAsia"/>
        </w:rPr>
        <w:t>8</w:t>
      </w:r>
      <w:r w:rsidR="00AA64F5" w:rsidRPr="009A5513">
        <w:rPr>
          <w:rFonts w:ascii="新細明體" w:hAnsi="新細明體" w:hint="eastAsia"/>
        </w:rPr>
        <w:t>年</w:t>
      </w:r>
      <w:r w:rsidR="00E409EB" w:rsidRPr="009A5513">
        <w:rPr>
          <w:rFonts w:ascii="新細明體" w:hAnsi="新細明體" w:hint="eastAsia"/>
        </w:rPr>
        <w:t>上半年</w:t>
      </w:r>
      <w:r w:rsidR="00AA64F5" w:rsidRPr="009A5513">
        <w:rPr>
          <w:rFonts w:ascii="新細明體" w:hAnsi="新細明體" w:hint="eastAsia"/>
        </w:rPr>
        <w:t>整體個案數</w:t>
      </w:r>
      <w:r w:rsidR="000319B9" w:rsidRPr="009A5513">
        <w:rPr>
          <w:rFonts w:ascii="新細明體" w:hAnsi="新細明體" w:hint="eastAsia"/>
        </w:rPr>
        <w:t>字詳情</w:t>
      </w:r>
      <w:r w:rsidR="00EF688C" w:rsidRPr="009A5513">
        <w:rPr>
          <w:rFonts w:ascii="新細明體" w:hAnsi="新細明體" w:hint="eastAsia"/>
        </w:rPr>
        <w:t>將</w:t>
      </w:r>
      <w:r w:rsidR="004D74C8" w:rsidRPr="009A5513">
        <w:rPr>
          <w:rFonts w:ascii="新細明體" w:hAnsi="新細明體" w:hint="eastAsia"/>
        </w:rPr>
        <w:t>刊登</w:t>
      </w:r>
      <w:r w:rsidR="000319B9" w:rsidRPr="009A5513">
        <w:rPr>
          <w:rFonts w:ascii="新細明體" w:hAnsi="新細明體" w:hint="eastAsia"/>
        </w:rPr>
        <w:t>於</w:t>
      </w:r>
      <w:r w:rsidR="003B722D" w:rsidRPr="009A5513">
        <w:rPr>
          <w:rFonts w:ascii="新細明體" w:hAnsi="新細明體" w:hint="eastAsia"/>
        </w:rPr>
        <w:t>稍後</w:t>
      </w:r>
      <w:r w:rsidR="00B46446" w:rsidRPr="009A5513">
        <w:rPr>
          <w:rFonts w:ascii="新細明體" w:hAnsi="新細明體" w:hint="eastAsia"/>
        </w:rPr>
        <w:t>出版的《澳門消費》供市民</w:t>
      </w:r>
      <w:r w:rsidR="00AA64F5" w:rsidRPr="009A5513">
        <w:rPr>
          <w:rFonts w:ascii="新細明體" w:hAnsi="新細明體" w:hint="eastAsia"/>
        </w:rPr>
        <w:t>查閱</w:t>
      </w:r>
      <w:r w:rsidR="00957BF5" w:rsidRPr="009A5513">
        <w:rPr>
          <w:rFonts w:ascii="新細明體" w:hAnsi="新細明體" w:hint="eastAsia"/>
        </w:rPr>
        <w:t>，請留意</w:t>
      </w:r>
      <w:r w:rsidR="00AA64F5" w:rsidRPr="009A5513">
        <w:rPr>
          <w:rFonts w:ascii="新細明體" w:hAnsi="新細明體" w:hint="eastAsia"/>
        </w:rPr>
        <w:t>消委會</w:t>
      </w:r>
      <w:r w:rsidR="008D782C" w:rsidRPr="009A5513">
        <w:rPr>
          <w:rFonts w:ascii="新細明體" w:hAnsi="新細明體" w:hint="eastAsia"/>
        </w:rPr>
        <w:t>有關的出版消息</w:t>
      </w:r>
      <w:r w:rsidR="00F57CDE" w:rsidRPr="009A5513">
        <w:rPr>
          <w:rFonts w:ascii="新細明體" w:hAnsi="新細明體" w:hint="eastAsia"/>
        </w:rPr>
        <w:t>。</w:t>
      </w:r>
    </w:p>
    <w:sectPr w:rsidR="00F57CDE" w:rsidRPr="009A5513" w:rsidSect="00435B4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98" w:rsidRDefault="002A3498"/>
  </w:endnote>
  <w:endnote w:type="continuationSeparator" w:id="0">
    <w:p w:rsidR="002A3498" w:rsidRDefault="002A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98" w:rsidRDefault="002A3498"/>
  </w:footnote>
  <w:footnote w:type="continuationSeparator" w:id="0">
    <w:p w:rsidR="002A3498" w:rsidRDefault="002A34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0"/>
    <w:rsid w:val="00013B27"/>
    <w:rsid w:val="00016216"/>
    <w:rsid w:val="000319B9"/>
    <w:rsid w:val="00055C26"/>
    <w:rsid w:val="00055FE7"/>
    <w:rsid w:val="0007081A"/>
    <w:rsid w:val="000746DF"/>
    <w:rsid w:val="00093F53"/>
    <w:rsid w:val="000D7FDA"/>
    <w:rsid w:val="000E7D72"/>
    <w:rsid w:val="001160E6"/>
    <w:rsid w:val="00116C64"/>
    <w:rsid w:val="0012441D"/>
    <w:rsid w:val="0013290B"/>
    <w:rsid w:val="0014536F"/>
    <w:rsid w:val="001517D9"/>
    <w:rsid w:val="001534EC"/>
    <w:rsid w:val="00156F82"/>
    <w:rsid w:val="00157075"/>
    <w:rsid w:val="00177A6A"/>
    <w:rsid w:val="001866FE"/>
    <w:rsid w:val="001A4A18"/>
    <w:rsid w:val="001E7169"/>
    <w:rsid w:val="001F4738"/>
    <w:rsid w:val="001F55BA"/>
    <w:rsid w:val="001F576C"/>
    <w:rsid w:val="00203889"/>
    <w:rsid w:val="0023138A"/>
    <w:rsid w:val="00240F00"/>
    <w:rsid w:val="00254ED8"/>
    <w:rsid w:val="0026590C"/>
    <w:rsid w:val="0027105D"/>
    <w:rsid w:val="00280EFC"/>
    <w:rsid w:val="00283725"/>
    <w:rsid w:val="00286523"/>
    <w:rsid w:val="00293ED0"/>
    <w:rsid w:val="002A3498"/>
    <w:rsid w:val="002C3FD8"/>
    <w:rsid w:val="002D751C"/>
    <w:rsid w:val="002F3EAA"/>
    <w:rsid w:val="00330379"/>
    <w:rsid w:val="0035210E"/>
    <w:rsid w:val="00352879"/>
    <w:rsid w:val="00371D4B"/>
    <w:rsid w:val="003900CA"/>
    <w:rsid w:val="00397FDA"/>
    <w:rsid w:val="003A4B04"/>
    <w:rsid w:val="003B060E"/>
    <w:rsid w:val="003B722D"/>
    <w:rsid w:val="003D4469"/>
    <w:rsid w:val="003F45D2"/>
    <w:rsid w:val="003F660D"/>
    <w:rsid w:val="00423020"/>
    <w:rsid w:val="00425EDD"/>
    <w:rsid w:val="004319C1"/>
    <w:rsid w:val="00435B4C"/>
    <w:rsid w:val="00455B2C"/>
    <w:rsid w:val="00470318"/>
    <w:rsid w:val="00482674"/>
    <w:rsid w:val="00482877"/>
    <w:rsid w:val="0049015F"/>
    <w:rsid w:val="004A2D05"/>
    <w:rsid w:val="004A47E9"/>
    <w:rsid w:val="004D74C8"/>
    <w:rsid w:val="004F2B62"/>
    <w:rsid w:val="00545047"/>
    <w:rsid w:val="005465C7"/>
    <w:rsid w:val="00554F76"/>
    <w:rsid w:val="0056196B"/>
    <w:rsid w:val="00575CE0"/>
    <w:rsid w:val="005915C5"/>
    <w:rsid w:val="005A5F5F"/>
    <w:rsid w:val="005C2CC2"/>
    <w:rsid w:val="005C34A7"/>
    <w:rsid w:val="005C74ED"/>
    <w:rsid w:val="0060251A"/>
    <w:rsid w:val="0060329C"/>
    <w:rsid w:val="0061392A"/>
    <w:rsid w:val="006242B2"/>
    <w:rsid w:val="00627AFC"/>
    <w:rsid w:val="006551B6"/>
    <w:rsid w:val="00680E48"/>
    <w:rsid w:val="00684736"/>
    <w:rsid w:val="006A1F6D"/>
    <w:rsid w:val="006B28AA"/>
    <w:rsid w:val="006E6F1F"/>
    <w:rsid w:val="0071769B"/>
    <w:rsid w:val="007360C8"/>
    <w:rsid w:val="007742A9"/>
    <w:rsid w:val="00787D95"/>
    <w:rsid w:val="007B3E9A"/>
    <w:rsid w:val="007C18D3"/>
    <w:rsid w:val="007D0A50"/>
    <w:rsid w:val="007E2409"/>
    <w:rsid w:val="007E77D3"/>
    <w:rsid w:val="007E7EA3"/>
    <w:rsid w:val="007F2D13"/>
    <w:rsid w:val="00801565"/>
    <w:rsid w:val="0080536D"/>
    <w:rsid w:val="0081454A"/>
    <w:rsid w:val="00823FCE"/>
    <w:rsid w:val="00832E9D"/>
    <w:rsid w:val="00835391"/>
    <w:rsid w:val="008360A0"/>
    <w:rsid w:val="00836598"/>
    <w:rsid w:val="00846007"/>
    <w:rsid w:val="0085391F"/>
    <w:rsid w:val="00855A96"/>
    <w:rsid w:val="00866A1A"/>
    <w:rsid w:val="00870EA6"/>
    <w:rsid w:val="00874C79"/>
    <w:rsid w:val="008767E0"/>
    <w:rsid w:val="00896DFF"/>
    <w:rsid w:val="008A150C"/>
    <w:rsid w:val="008B5FBB"/>
    <w:rsid w:val="008D782C"/>
    <w:rsid w:val="008F744E"/>
    <w:rsid w:val="00957BF5"/>
    <w:rsid w:val="00985FE6"/>
    <w:rsid w:val="009A486D"/>
    <w:rsid w:val="009A5513"/>
    <w:rsid w:val="009B52A1"/>
    <w:rsid w:val="009D09A9"/>
    <w:rsid w:val="009D1EB4"/>
    <w:rsid w:val="009D606C"/>
    <w:rsid w:val="009F5B38"/>
    <w:rsid w:val="00A03F86"/>
    <w:rsid w:val="00A15A1E"/>
    <w:rsid w:val="00A269F6"/>
    <w:rsid w:val="00A62AA3"/>
    <w:rsid w:val="00A92F71"/>
    <w:rsid w:val="00AA64F5"/>
    <w:rsid w:val="00AE1190"/>
    <w:rsid w:val="00AE657C"/>
    <w:rsid w:val="00AF21E3"/>
    <w:rsid w:val="00B2258B"/>
    <w:rsid w:val="00B45F02"/>
    <w:rsid w:val="00B46446"/>
    <w:rsid w:val="00B53F6A"/>
    <w:rsid w:val="00B54CD4"/>
    <w:rsid w:val="00B71F7F"/>
    <w:rsid w:val="00BA774C"/>
    <w:rsid w:val="00BB1920"/>
    <w:rsid w:val="00BC2696"/>
    <w:rsid w:val="00BC2A67"/>
    <w:rsid w:val="00BD4323"/>
    <w:rsid w:val="00BF0E9D"/>
    <w:rsid w:val="00C037D2"/>
    <w:rsid w:val="00C1140C"/>
    <w:rsid w:val="00C43322"/>
    <w:rsid w:val="00C579DD"/>
    <w:rsid w:val="00C7216F"/>
    <w:rsid w:val="00CC1ED4"/>
    <w:rsid w:val="00CE2639"/>
    <w:rsid w:val="00CE5CE3"/>
    <w:rsid w:val="00CF1602"/>
    <w:rsid w:val="00D069E1"/>
    <w:rsid w:val="00D21D42"/>
    <w:rsid w:val="00D3261D"/>
    <w:rsid w:val="00D41867"/>
    <w:rsid w:val="00D77124"/>
    <w:rsid w:val="00DE6001"/>
    <w:rsid w:val="00DE6600"/>
    <w:rsid w:val="00DE7626"/>
    <w:rsid w:val="00E02038"/>
    <w:rsid w:val="00E21A34"/>
    <w:rsid w:val="00E21DD6"/>
    <w:rsid w:val="00E313C0"/>
    <w:rsid w:val="00E409EB"/>
    <w:rsid w:val="00E64D6B"/>
    <w:rsid w:val="00E6526E"/>
    <w:rsid w:val="00E73FFB"/>
    <w:rsid w:val="00E82904"/>
    <w:rsid w:val="00EE158E"/>
    <w:rsid w:val="00EF5FD7"/>
    <w:rsid w:val="00EF6191"/>
    <w:rsid w:val="00EF688C"/>
    <w:rsid w:val="00F05170"/>
    <w:rsid w:val="00F06E79"/>
    <w:rsid w:val="00F2182E"/>
    <w:rsid w:val="00F36BF9"/>
    <w:rsid w:val="00F41852"/>
    <w:rsid w:val="00F52819"/>
    <w:rsid w:val="00F57CDE"/>
    <w:rsid w:val="00F6358E"/>
    <w:rsid w:val="00F7518E"/>
    <w:rsid w:val="00F913AD"/>
    <w:rsid w:val="00FA60C2"/>
    <w:rsid w:val="00FC076F"/>
    <w:rsid w:val="00FD2BFB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953</Words>
  <Characters>95</Characters>
  <Application>Microsoft Office Word</Application>
  <DocSecurity>0</DocSecurity>
  <Lines>1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Pat</cp:lastModifiedBy>
  <cp:revision>32</cp:revision>
  <cp:lastPrinted>2018-07-06T02:40:00Z</cp:lastPrinted>
  <dcterms:created xsi:type="dcterms:W3CDTF">2018-07-05T02:17:00Z</dcterms:created>
  <dcterms:modified xsi:type="dcterms:W3CDTF">2018-07-06T08:14:00Z</dcterms:modified>
</cp:coreProperties>
</file>