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Pr="00653C5D" w:rsidRDefault="00B17960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653C5D">
        <w:rPr>
          <w:rFonts w:ascii="細明體"/>
          <w:b/>
          <w:snapToGrid w:val="0"/>
          <w:szCs w:val="24"/>
        </w:rPr>
        <w:t>2</w:t>
      </w:r>
      <w:r w:rsidR="00085339">
        <w:rPr>
          <w:rFonts w:ascii="細明體"/>
          <w:b/>
          <w:snapToGrid w:val="0"/>
          <w:szCs w:val="24"/>
        </w:rPr>
        <w:t>2</w:t>
      </w:r>
      <w:r w:rsidR="00074EB7" w:rsidRPr="00653C5D">
        <w:rPr>
          <w:rFonts w:ascii="細明體" w:hint="eastAsia"/>
          <w:b/>
          <w:snapToGrid w:val="0"/>
          <w:szCs w:val="24"/>
        </w:rPr>
        <w:t>-</w:t>
      </w:r>
      <w:r w:rsidR="00085339">
        <w:rPr>
          <w:rFonts w:ascii="細明體"/>
          <w:b/>
          <w:snapToGrid w:val="0"/>
          <w:szCs w:val="24"/>
        </w:rPr>
        <w:t>03</w:t>
      </w:r>
      <w:r w:rsidR="00A37125" w:rsidRPr="00653C5D">
        <w:rPr>
          <w:rFonts w:ascii="細明體" w:hint="eastAsia"/>
          <w:b/>
          <w:snapToGrid w:val="0"/>
          <w:szCs w:val="24"/>
        </w:rPr>
        <w:t>-202</w:t>
      </w:r>
      <w:r w:rsidR="00A37125" w:rsidRPr="00653C5D">
        <w:rPr>
          <w:rFonts w:ascii="細明體"/>
          <w:b/>
          <w:snapToGrid w:val="0"/>
          <w:szCs w:val="24"/>
        </w:rPr>
        <w:t>1</w:t>
      </w:r>
    </w:p>
    <w:p w:rsidR="005A54EB" w:rsidRDefault="005A54EB" w:rsidP="00797842">
      <w:pPr>
        <w:spacing w:beforeLines="20" w:before="48" w:afterLines="20" w:after="48" w:line="400" w:lineRule="atLeast"/>
        <w:jc w:val="center"/>
        <w:rPr>
          <w:rFonts w:ascii="細明體"/>
          <w:b/>
          <w:snapToGrid w:val="0"/>
          <w:szCs w:val="24"/>
        </w:rPr>
      </w:pPr>
    </w:p>
    <w:p w:rsidR="00D27B5B" w:rsidRDefault="00D27B5B" w:rsidP="00797842">
      <w:pPr>
        <w:spacing w:beforeLines="20" w:before="48" w:afterLines="20" w:after="48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/>
          <w:b/>
          <w:snapToGrid w:val="0"/>
          <w:szCs w:val="24"/>
        </w:rPr>
        <w:t>粵澳聯發</w:t>
      </w:r>
      <w:r w:rsidR="00797842" w:rsidRPr="00797842">
        <w:rPr>
          <w:rFonts w:ascii="細明體" w:hint="eastAsia"/>
          <w:b/>
          <w:snapToGrid w:val="0"/>
          <w:szCs w:val="24"/>
        </w:rPr>
        <w:t>“澳門消費者赴內地購房消費提示”</w:t>
      </w:r>
    </w:p>
    <w:p w:rsidR="00EC2955" w:rsidRPr="001C7199" w:rsidRDefault="00EC2955" w:rsidP="00797842">
      <w:pPr>
        <w:spacing w:beforeLines="20" w:before="48" w:afterLines="20" w:after="48" w:line="400" w:lineRule="atLeast"/>
        <w:rPr>
          <w:rFonts w:ascii="新細明體" w:eastAsia="新細明體" w:hAnsi="新細明體" w:cs="FangSong_GB2312"/>
          <w:sz w:val="28"/>
          <w:szCs w:val="28"/>
        </w:rPr>
      </w:pPr>
    </w:p>
    <w:p w:rsidR="001466B4" w:rsidRPr="000457FA" w:rsidRDefault="001466B4" w:rsidP="00797842">
      <w:pPr>
        <w:spacing w:beforeLines="20" w:before="48" w:afterLines="20" w:after="48" w:line="400" w:lineRule="atLeast"/>
        <w:ind w:firstLineChars="172" w:firstLine="413"/>
        <w:jc w:val="both"/>
        <w:rPr>
          <w:rFonts w:ascii="新細明體" w:eastAsia="新細明體" w:hAnsi="新細明體" w:cs="FangSong_GB2312"/>
          <w:szCs w:val="24"/>
        </w:rPr>
      </w:pPr>
      <w:r w:rsidRPr="000457FA">
        <w:rPr>
          <w:rFonts w:ascii="新細明體" w:eastAsia="新細明體" w:hAnsi="新細明體" w:cs="FangSong_GB2312" w:hint="eastAsia"/>
          <w:szCs w:val="24"/>
        </w:rPr>
        <w:t>粵澳</w:t>
      </w:r>
      <w:r w:rsidR="000457FA">
        <w:rPr>
          <w:rFonts w:ascii="新細明體" w:eastAsia="新細明體" w:hAnsi="新細明體" w:cs="FangSong_GB2312" w:hint="eastAsia"/>
          <w:szCs w:val="24"/>
        </w:rPr>
        <w:t>兩地</w:t>
      </w:r>
      <w:r w:rsidR="00956A17" w:rsidRPr="000457FA">
        <w:rPr>
          <w:rFonts w:ascii="新細明體" w:eastAsia="新細明體" w:hAnsi="新細明體" w:cs="FangSong_GB2312" w:hint="eastAsia"/>
          <w:szCs w:val="24"/>
        </w:rPr>
        <w:t>繼</w:t>
      </w:r>
      <w:r w:rsidRPr="000457FA">
        <w:rPr>
          <w:rFonts w:ascii="新細明體" w:eastAsia="新細明體" w:hAnsi="新細明體" w:cs="FangSong_GB2312" w:hint="eastAsia"/>
          <w:szCs w:val="24"/>
        </w:rPr>
        <w:t>早前</w:t>
      </w:r>
      <w:r w:rsidR="00A74983">
        <w:rPr>
          <w:rFonts w:ascii="新細明體" w:eastAsia="新細明體" w:hAnsi="新細明體" w:cs="FangSong_GB2312" w:hint="eastAsia"/>
          <w:szCs w:val="24"/>
        </w:rPr>
        <w:t>聯合</w:t>
      </w:r>
      <w:r w:rsidRPr="000457FA">
        <w:rPr>
          <w:rFonts w:ascii="新細明體" w:eastAsia="新細明體" w:hAnsi="新細明體" w:cs="FangSong_GB2312" w:hint="eastAsia"/>
          <w:szCs w:val="24"/>
        </w:rPr>
        <w:t>舉行</w:t>
      </w:r>
      <w:r w:rsidR="000457FA" w:rsidRPr="000457FA">
        <w:rPr>
          <w:rFonts w:ascii="新細明體" w:eastAsia="新細明體" w:hAnsi="新細明體" w:cs="FangSong_GB2312" w:hint="eastAsia"/>
          <w:szCs w:val="24"/>
        </w:rPr>
        <w:t>“粵澳房產消費維權講座”</w:t>
      </w:r>
      <w:r w:rsidRPr="000457FA">
        <w:rPr>
          <w:rFonts w:ascii="新細明體" w:eastAsia="新細明體" w:hAnsi="新細明體" w:cs="FangSong_GB2312" w:hint="eastAsia"/>
          <w:szCs w:val="24"/>
        </w:rPr>
        <w:t>，介紹內地購房的法規，</w:t>
      </w:r>
      <w:r w:rsidR="000457FA" w:rsidRPr="000457FA">
        <w:rPr>
          <w:rFonts w:ascii="新細明體" w:eastAsia="新細明體" w:hAnsi="新細明體" w:cs="FangSong_GB2312" w:hint="eastAsia"/>
          <w:szCs w:val="24"/>
        </w:rPr>
        <w:t>為</w:t>
      </w:r>
      <w:r w:rsidR="00D24B8A">
        <w:rPr>
          <w:rFonts w:ascii="新細明體" w:eastAsia="新細明體" w:hAnsi="新細明體" w:cs="FangSong_GB2312" w:hint="eastAsia"/>
          <w:szCs w:val="24"/>
        </w:rPr>
        <w:t>提高</w:t>
      </w:r>
      <w:r w:rsidR="000457FA" w:rsidRPr="000457FA">
        <w:rPr>
          <w:rFonts w:ascii="新細明體" w:eastAsia="新細明體" w:hAnsi="新細明體" w:cs="FangSong_GB2312" w:hint="eastAsia"/>
          <w:szCs w:val="24"/>
        </w:rPr>
        <w:t>澳門消費者</w:t>
      </w:r>
      <w:bookmarkStart w:id="0" w:name="_GoBack"/>
      <w:bookmarkEnd w:id="0"/>
      <w:r w:rsidR="000457FA" w:rsidRPr="000457FA">
        <w:rPr>
          <w:rFonts w:ascii="新細明體" w:eastAsia="新細明體" w:hAnsi="新細明體" w:cs="FangSong_GB2312" w:hint="eastAsia"/>
          <w:szCs w:val="24"/>
        </w:rPr>
        <w:t>內地購房</w:t>
      </w:r>
      <w:r w:rsidR="00956A17">
        <w:rPr>
          <w:rFonts w:ascii="新細明體" w:eastAsia="新細明體" w:hAnsi="新細明體" w:cs="FangSong_GB2312" w:hint="eastAsia"/>
          <w:szCs w:val="24"/>
        </w:rPr>
        <w:t>的</w:t>
      </w:r>
      <w:r w:rsidR="00A366B6">
        <w:rPr>
          <w:rFonts w:ascii="新細明體" w:eastAsia="新細明體" w:hAnsi="新細明體" w:cs="FangSong_GB2312" w:hint="eastAsia"/>
          <w:szCs w:val="24"/>
        </w:rPr>
        <w:t>風險意識</w:t>
      </w:r>
      <w:r w:rsidR="000457FA" w:rsidRPr="000457FA">
        <w:rPr>
          <w:rFonts w:ascii="新細明體" w:eastAsia="新細明體" w:hAnsi="新細明體" w:cs="FangSong_GB2312" w:hint="eastAsia"/>
          <w:szCs w:val="24"/>
        </w:rPr>
        <w:t>，</w:t>
      </w:r>
      <w:r w:rsidR="000457FA">
        <w:rPr>
          <w:rFonts w:ascii="新細明體" w:eastAsia="新細明體" w:hAnsi="新細明體" w:cs="FangSong_GB2312" w:hint="eastAsia"/>
          <w:szCs w:val="24"/>
        </w:rPr>
        <w:t>澳門與廣東省消委</w:t>
      </w:r>
      <w:r w:rsidRPr="000457FA">
        <w:rPr>
          <w:rFonts w:ascii="新細明體" w:eastAsia="新細明體" w:hAnsi="新細明體" w:cs="FangSong_GB2312" w:hint="eastAsia"/>
          <w:szCs w:val="24"/>
        </w:rPr>
        <w:t>會聯合發出</w:t>
      </w:r>
      <w:r w:rsidR="000457FA" w:rsidRPr="000457FA">
        <w:rPr>
          <w:rFonts w:ascii="新細明體" w:eastAsia="新細明體" w:hAnsi="新細明體" w:cs="FangSong_GB2312" w:hint="eastAsia"/>
          <w:szCs w:val="24"/>
        </w:rPr>
        <w:t>“澳門消費者赴內地購房消費提示”</w:t>
      </w:r>
      <w:r w:rsidRPr="000457FA">
        <w:rPr>
          <w:rFonts w:ascii="新細明體" w:eastAsia="新細明體" w:hAnsi="新細明體" w:cs="FangSong_GB2312" w:hint="eastAsia"/>
          <w:szCs w:val="24"/>
        </w:rPr>
        <w:t>。</w:t>
      </w:r>
    </w:p>
    <w:p w:rsidR="00D27B5B" w:rsidRDefault="00C36BAD" w:rsidP="00797842">
      <w:pPr>
        <w:spacing w:beforeLines="20" w:before="48" w:afterLines="20" w:after="48" w:line="400" w:lineRule="atLeast"/>
        <w:ind w:firstLineChars="172" w:firstLine="413"/>
        <w:jc w:val="both"/>
        <w:rPr>
          <w:rFonts w:ascii="新細明體" w:eastAsia="新細明體" w:hAnsi="新細明體" w:cs="FangSong_GB2312"/>
          <w:b/>
          <w:szCs w:val="24"/>
        </w:rPr>
      </w:pPr>
      <w:r>
        <w:rPr>
          <w:rFonts w:ascii="新細明體" w:eastAsia="新細明體" w:hAnsi="新細明體" w:cs="FangSong_GB2312" w:hint="eastAsia"/>
          <w:b/>
          <w:szCs w:val="24"/>
        </w:rPr>
        <w:t>七點提示：</w:t>
      </w:r>
      <w:r w:rsidR="001C29FF">
        <w:rPr>
          <w:rFonts w:ascii="新細明體" w:eastAsia="新細明體" w:hAnsi="新細明體" w:cs="FangSong_GB2312" w:hint="eastAsia"/>
          <w:b/>
          <w:szCs w:val="24"/>
        </w:rPr>
        <w:t>內地購房政策</w:t>
      </w:r>
      <w:r>
        <w:rPr>
          <w:rFonts w:ascii="新細明體" w:eastAsia="新細明體" w:hAnsi="新細明體" w:cs="FangSong_GB2312" w:hint="eastAsia"/>
          <w:b/>
          <w:szCs w:val="24"/>
        </w:rPr>
        <w:t>與運作</w:t>
      </w:r>
    </w:p>
    <w:p w:rsidR="00EC2955" w:rsidRPr="000457FA" w:rsidRDefault="000457FA" w:rsidP="00797842">
      <w:pPr>
        <w:spacing w:beforeLines="20" w:before="48" w:afterLines="20" w:after="48" w:line="400" w:lineRule="atLeast"/>
        <w:ind w:firstLineChars="172" w:firstLine="413"/>
        <w:jc w:val="both"/>
        <w:rPr>
          <w:rFonts w:ascii="新細明體" w:eastAsia="新細明體" w:hAnsi="新細明體" w:cs="FangSong_GB2312"/>
          <w:szCs w:val="24"/>
        </w:rPr>
      </w:pPr>
      <w:r>
        <w:rPr>
          <w:rFonts w:ascii="新細明體" w:eastAsia="新細明體" w:hAnsi="新細明體" w:cs="FangSong_GB2312" w:hint="eastAsia"/>
          <w:szCs w:val="24"/>
        </w:rPr>
        <w:t>近年來，隨着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粵港澳大灣區建設穩步推進，澳門與廣東特別珠三角的消費融</w:t>
      </w:r>
      <w:r>
        <w:rPr>
          <w:rFonts w:ascii="新細明體" w:eastAsia="新細明體" w:hAnsi="新細明體" w:cs="FangSong_GB2312" w:hint="eastAsia"/>
          <w:szCs w:val="24"/>
        </w:rPr>
        <w:t>合進一步密切。特別是港珠澳大橋通車後，赴內地購房的澳門消費者也愈</w:t>
      </w:r>
      <w:r w:rsidR="00731430">
        <w:rPr>
          <w:rFonts w:ascii="新細明體" w:eastAsia="新細明體" w:hAnsi="新細明體" w:cs="FangSong_GB2312" w:hint="eastAsia"/>
          <w:szCs w:val="24"/>
        </w:rPr>
        <w:t>來</w:t>
      </w:r>
      <w:r>
        <w:rPr>
          <w:rFonts w:ascii="新細明體" w:eastAsia="新細明體" w:hAnsi="新細明體" w:cs="FangSong_GB2312" w:hint="eastAsia"/>
          <w:szCs w:val="24"/>
        </w:rPr>
        <w:t>愈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多。為引導澳門消費者瞭解內地購房政策，提高購房成功率，同時防範房產交易風險，提高維權意識，廣東省消委會、澳門消委會聯合發出“澳門消費者赴內地購房消費提示”：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t>一、購房政策掌握牢，誠信購房風險少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 w:rsidRPr="000457FA">
        <w:rPr>
          <w:rFonts w:ascii="新細明體" w:eastAsia="新細明體" w:hAnsi="新細明體" w:cs="FangSong_GB2312" w:hint="eastAsia"/>
          <w:szCs w:val="24"/>
        </w:rPr>
        <w:t>按照國家對購房的調控政策，各個城市在購房相關政策措施和購房貸款條件上都有一定的差異，甚至不同縣、區也會有所不同。消費者在購房前應該仔細瞭解掌握當地的購房政策，結合自身情況，確定</w:t>
      </w:r>
      <w:r w:rsidR="00DF7DD7">
        <w:rPr>
          <w:rFonts w:ascii="新細明體" w:eastAsia="新細明體" w:hAnsi="新細明體" w:cs="FangSong_GB2312" w:hint="eastAsia"/>
          <w:szCs w:val="24"/>
        </w:rPr>
        <w:t>是否具有購房及貸款資格。同時應嚴格遵守購房政策，不要聽信一些中介</w:t>
      </w:r>
      <w:r w:rsidRPr="000457FA">
        <w:rPr>
          <w:rFonts w:ascii="新細明體" w:eastAsia="新細明體" w:hAnsi="新細明體" w:cs="FangSong_GB2312" w:hint="eastAsia"/>
          <w:szCs w:val="24"/>
        </w:rPr>
        <w:t>機構的誘導，提供虛假購房證明材料或簽訂陰陽合同，避免因不實申報或非法避稅，而不被審核通過及產生糾紛、法律風險。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t>二、銷售證件要查清，資質不全莫交易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="640"/>
        <w:jc w:val="both"/>
        <w:rPr>
          <w:rFonts w:ascii="新細明體" w:eastAsia="新細明體" w:hAnsi="新細明體" w:cs="FangSong_GB2312"/>
          <w:szCs w:val="24"/>
        </w:rPr>
      </w:pPr>
      <w:r w:rsidRPr="000457FA">
        <w:rPr>
          <w:rFonts w:ascii="新細明體" w:eastAsia="新細明體" w:hAnsi="新細明體" w:cs="FangSong_GB2312" w:hint="eastAsia"/>
          <w:szCs w:val="24"/>
        </w:rPr>
        <w:t>開發商在房地產市場上銷售商品房必須具備以下</w:t>
      </w:r>
      <w:r w:rsidR="00F3414A">
        <w:rPr>
          <w:rFonts w:ascii="新細明體" w:eastAsia="新細明體" w:hAnsi="新細明體" w:cs="FangSong_GB2312" w:hint="eastAsia"/>
          <w:szCs w:val="24"/>
        </w:rPr>
        <w:t>“五證”</w:t>
      </w:r>
      <w:r w:rsidRPr="000457FA">
        <w:rPr>
          <w:rFonts w:ascii="新細明體" w:eastAsia="新細明體" w:hAnsi="新細明體" w:cs="FangSong_GB2312" w:hint="eastAsia"/>
          <w:szCs w:val="24"/>
        </w:rPr>
        <w:t>：《國有土地使用證》（或《不動產權證》）、《建設工程規劃許可證》</w:t>
      </w:r>
      <w:r w:rsidR="00731430">
        <w:rPr>
          <w:rFonts w:ascii="新細明體" w:eastAsia="新細明體" w:hAnsi="新細明體" w:cs="FangSong_GB2312" w:hint="eastAsia"/>
          <w:szCs w:val="24"/>
        </w:rPr>
        <w:t>、</w:t>
      </w:r>
      <w:r w:rsidRPr="000457FA">
        <w:rPr>
          <w:rFonts w:ascii="新細明體" w:eastAsia="新細明體" w:hAnsi="新細明體" w:cs="FangSong_GB2312" w:hint="eastAsia"/>
          <w:szCs w:val="24"/>
        </w:rPr>
        <w:t>《建築工程施工許可證》</w:t>
      </w:r>
      <w:r w:rsidR="00731430" w:rsidRPr="00731430">
        <w:rPr>
          <w:rFonts w:ascii="新細明體" w:eastAsia="新細明體" w:hAnsi="新細明體" w:cs="FangSong_GB2312" w:hint="eastAsia"/>
          <w:szCs w:val="24"/>
        </w:rPr>
        <w:t>和</w:t>
      </w:r>
      <w:r w:rsidRPr="000457FA">
        <w:rPr>
          <w:rFonts w:ascii="新細明體" w:eastAsia="新細明體" w:hAnsi="新細明體" w:cs="FangSong_GB2312" w:hint="eastAsia"/>
          <w:szCs w:val="24"/>
        </w:rPr>
        <w:t>《商品房預售許可證》。其中《建設工程規劃許可證》由規劃部門核發，《建築工程施工許可證》和《商品房預售許可證》由住建部門核發，《國有土地使用證》</w:t>
      </w:r>
      <w:r w:rsidR="00731430" w:rsidRPr="00731430">
        <w:rPr>
          <w:rFonts w:ascii="新細明體" w:eastAsia="新細明體" w:hAnsi="新細明體" w:cs="FangSong_GB2312" w:hint="eastAsia"/>
          <w:szCs w:val="24"/>
        </w:rPr>
        <w:t>和</w:t>
      </w:r>
      <w:r w:rsidRPr="000457FA">
        <w:rPr>
          <w:rFonts w:ascii="新細明體" w:eastAsia="新細明體" w:hAnsi="新細明體" w:cs="FangSong_GB2312" w:hint="eastAsia"/>
          <w:szCs w:val="24"/>
        </w:rPr>
        <w:t>《不動產權證》由國土相關部門核發。消費者在購房前可要求開發商出示，或登錄發證部門官網查詢，切莫購買無證的房產。購買二手房可以向不動產登記部門查詢房屋的權屬、查封、抵押等情況。此外，消費者還要分清房產是住宅還是公寓，住宅和公寓在土地使用年限、首付比例、銀行貸款年限、落戶和教育，以及水、電、燃氣等收費標準或配套方面都有所不同，購買前應根據實際需求選擇。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="64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t>三、宣傳承諾不輕信，寫入合同有保障</w:t>
      </w:r>
    </w:p>
    <w:p w:rsidR="00EC2955" w:rsidRPr="000457FA" w:rsidRDefault="00DF7DD7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>
        <w:rPr>
          <w:rFonts w:ascii="新細明體" w:eastAsia="新細明體" w:hAnsi="新細明體" w:cs="FangSong_GB2312" w:hint="eastAsia"/>
          <w:szCs w:val="24"/>
        </w:rPr>
        <w:t>少數開發商或房產中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介為吸引客戶，會採取發佈虛假低價房源資訊獲取流量、過度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lastRenderedPageBreak/>
        <w:t>宣傳房產相關配套（如裝修、學位、醫院、商圈等）、營造房產熱銷假像等不良</w:t>
      </w:r>
      <w:r>
        <w:rPr>
          <w:rFonts w:ascii="新細明體" w:eastAsia="新細明體" w:hAnsi="新細明體" w:cs="FangSong_GB2312" w:hint="eastAsia"/>
          <w:szCs w:val="24"/>
        </w:rPr>
        <w:t>營商行為。消費者在購房前應注意核對房源資訊，不輕信開發商或房產中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介的廣告宣傳或口頭承諾，儘量將交易過程中的宣傳承諾落實到合同中。同時，最好到現場進行實地查勘，詳細瞭解房產資訊及周邊環境、配套設施、物業管理等情況，避免因貨不對板造成損失或糾紛。在簽訂合同時，應仔細閱讀合同各項條款和補充協議，必要時可向律師或其他法律工作者諮詢。要注意查看合同中有沒有空白條款、補充協議中的義務與權利是否對等、違約責任和賠償有沒有寫清楚、交房日期與交房標準是否清晰、辦證期限及手續辦理是否清晰等</w:t>
      </w:r>
      <w:r w:rsidR="00731430">
        <w:rPr>
          <w:rFonts w:ascii="新細明體" w:eastAsia="新細明體" w:hAnsi="新細明體" w:cs="FangSong_GB2312" w:hint="eastAsia"/>
          <w:szCs w:val="24"/>
        </w:rPr>
        <w:t>。同時，還要特別關注合同中關於水、電、氣、通訊、有線電視、車位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等公共配套設施的約定情況，如發現存在有失公平的格式化條款，應拒絕簽字，並提出交涉、要求修改。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t>四、收費標準先知曉，資金存管保安全</w:t>
      </w:r>
    </w:p>
    <w:p w:rsidR="00EC2955" w:rsidRPr="000457FA" w:rsidRDefault="00DF7DD7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>
        <w:rPr>
          <w:rFonts w:ascii="新細明體" w:eastAsia="新細明體" w:hAnsi="新細明體" w:cs="FangSong_GB2312" w:hint="eastAsia"/>
          <w:szCs w:val="24"/>
        </w:rPr>
        <w:t>消費者在購房前，應向開發商或房產中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介公司瞭解房產交易需要繳納的各項費用明細，認真細緻地查看全部收費專案及收費標準，有疑問要明確提出，對開發商、房產</w:t>
      </w:r>
      <w:r w:rsidR="00731430">
        <w:rPr>
          <w:rFonts w:ascii="新細明體" w:eastAsia="新細明體" w:hAnsi="新細明體" w:cs="FangSong_GB2312" w:hint="eastAsia"/>
          <w:szCs w:val="24"/>
        </w:rPr>
        <w:t>中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介公司或個人要求繳納的</w:t>
      </w:r>
      <w:r w:rsidR="00C36BAD">
        <w:rPr>
          <w:rFonts w:ascii="新細明體" w:eastAsia="新細明體" w:hAnsi="新細明體" w:cs="FangSong_GB2312" w:hint="eastAsia"/>
          <w:szCs w:val="24"/>
        </w:rPr>
        <w:t>不明確、不合理、不合法的費用，要給予拒絕，對合理、合法的收費項目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，要確保收費標準協商一致。在二手房買賣過程中，由於流程複雜、週期長且涉及金額大，一旦出現交易糾紛，將給買賣雙方帶來難以估量的損失。在實際交易過程中，房屋簽約後被查封、房款支付管道不正規、共有權人爭端、物業交割、惡意違約等原因會導致交易不成功。為完善資金監管，許多城市建立了二手房交易結算資金監管制度，逐步實行交易資金專用帳戶管理。消費者在交易過程中，應儘量選擇通過資金專用帳戶進行交易，保障消費者資金安全。</w:t>
      </w:r>
    </w:p>
    <w:p w:rsidR="00EC2955" w:rsidRPr="00DF7DD7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DF7DD7">
        <w:rPr>
          <w:rFonts w:ascii="新細明體" w:eastAsia="新細明體" w:hAnsi="新細明體" w:cs="SimHei" w:hint="eastAsia"/>
          <w:szCs w:val="24"/>
        </w:rPr>
        <w:t>五、定金交付不可退，理性確認再消費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 w:rsidRPr="000457FA">
        <w:rPr>
          <w:rFonts w:ascii="新細明體" w:eastAsia="新細明體" w:hAnsi="新細明體" w:cs="FangSong_GB2312" w:hint="eastAsia"/>
          <w:szCs w:val="24"/>
        </w:rPr>
        <w:t>在購買房產時，一般需要向開發商或二手房業主繳納一部分數額的定金。由於房產金額巨大，定金也不會少，消費者應特別注意“定金”的法律含義：“定金”有擔保的作用，且不能超過總價款的</w:t>
      </w:r>
      <w:r w:rsidRPr="000457FA">
        <w:rPr>
          <w:rFonts w:ascii="新細明體" w:eastAsia="新細明體" w:hAnsi="新細明體" w:cs="FangSong_GB2312"/>
          <w:szCs w:val="24"/>
        </w:rPr>
        <w:t>20%</w:t>
      </w:r>
      <w:r w:rsidRPr="000457FA">
        <w:rPr>
          <w:rFonts w:ascii="新細明體" w:eastAsia="新細明體" w:hAnsi="新細明體" w:cs="FangSong_GB2312" w:hint="eastAsia"/>
          <w:szCs w:val="24"/>
        </w:rPr>
        <w:t>。如果經營者違約，則必須雙倍向消費者返還，如果消費者無法履約則不能要回“定金”。因此消費者在交付定金時，一定要冷靜、理性，再三考慮清楚後交付，不要在廣告影響或者經紀人員的大力推薦下衝動購買，避免造成損失。此外，澳門消費者到內地買房還應考慮匯率變化導致首付、貸款變化而帶來的影響。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t>六、個人資訊易洩漏，早做防備免騷擾</w:t>
      </w:r>
    </w:p>
    <w:p w:rsidR="00EC2955" w:rsidRPr="000457FA" w:rsidRDefault="00DF7DD7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>
        <w:rPr>
          <w:rFonts w:ascii="新細明體" w:eastAsia="新細明體" w:hAnsi="新細明體" w:cs="FangSong_GB2312" w:hint="eastAsia"/>
          <w:szCs w:val="24"/>
        </w:rPr>
        <w:t>消費者無論是通過線上房地產仲介平台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看房，還是通過線下管道看房交易，都不可避免需要提供個人資訊。而當前消費者在購房過程中，個人資訊被“洩露”的現象還一定程度上存在，以致會被一些推銷電話、短信騷擾。消費者可事先向開發商或房產</w:t>
      </w:r>
      <w:r w:rsidR="00C36BAD">
        <w:rPr>
          <w:rFonts w:ascii="新細明體" w:eastAsia="新細明體" w:hAnsi="新細明體" w:cs="FangSong_GB2312" w:hint="eastAsia"/>
          <w:szCs w:val="24"/>
        </w:rPr>
        <w:t>中</w:t>
      </w:r>
      <w:r w:rsidR="00EC2955" w:rsidRPr="000457FA">
        <w:rPr>
          <w:rFonts w:ascii="新細明體" w:eastAsia="新細明體" w:hAnsi="新細明體" w:cs="FangSong_GB2312" w:hint="eastAsia"/>
          <w:szCs w:val="24"/>
        </w:rPr>
        <w:t>介公司提出資訊保護的要求，最好通過簽訂承諾書或補充合同等方式，對個人資訊保密作出約定。如果條件允許，建議購房過程中單獨使用一個手機號碼，與日常使用的手機號碼分開，避免常用手機號碼被洩漏後遭受騷擾。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SimHei"/>
          <w:szCs w:val="24"/>
        </w:rPr>
      </w:pPr>
      <w:r w:rsidRPr="000457FA">
        <w:rPr>
          <w:rFonts w:ascii="新細明體" w:eastAsia="新細明體" w:hAnsi="新細明體" w:cs="SimHei" w:hint="eastAsia"/>
          <w:szCs w:val="24"/>
        </w:rPr>
        <w:lastRenderedPageBreak/>
        <w:t>七、交易憑證保留好，維權管道請記牢</w:t>
      </w:r>
    </w:p>
    <w:p w:rsidR="00EC2955" w:rsidRPr="000457FA" w:rsidRDefault="00EC2955" w:rsidP="00797842">
      <w:pPr>
        <w:spacing w:beforeLines="20" w:before="48" w:afterLines="20" w:after="48" w:line="400" w:lineRule="atLeast"/>
        <w:ind w:firstLineChars="200" w:firstLine="480"/>
        <w:jc w:val="both"/>
        <w:rPr>
          <w:rFonts w:ascii="新細明體" w:eastAsia="新細明體" w:hAnsi="新細明體" w:cs="FangSong_GB2312"/>
          <w:szCs w:val="24"/>
        </w:rPr>
      </w:pPr>
      <w:r w:rsidRPr="000457FA">
        <w:rPr>
          <w:rFonts w:ascii="新細明體" w:eastAsia="新細明體" w:hAnsi="新細明體" w:cs="FangSong_GB2312" w:hint="eastAsia"/>
          <w:szCs w:val="24"/>
        </w:rPr>
        <w:t>相關交易單據是消費者在遭遇糾紛時維權的最重要證據。消費者在內地購房過程中，要妥善保存好購房有</w:t>
      </w:r>
      <w:r w:rsidR="00C36BAD">
        <w:rPr>
          <w:rFonts w:ascii="新細明體" w:eastAsia="新細明體" w:hAnsi="新細明體" w:cs="FangSong_GB2312" w:hint="eastAsia"/>
          <w:szCs w:val="24"/>
        </w:rPr>
        <w:t>關的發票憑證、定金憑證、購房協定、合同文本等，以及開發商或房產中</w:t>
      </w:r>
      <w:r w:rsidRPr="000457FA">
        <w:rPr>
          <w:rFonts w:ascii="新細明體" w:eastAsia="新細明體" w:hAnsi="新細明體" w:cs="FangSong_GB2312" w:hint="eastAsia"/>
          <w:szCs w:val="24"/>
        </w:rPr>
        <w:t>介公司的宣傳廣告、承諾內容等資訊。</w:t>
      </w:r>
      <w:r w:rsidRPr="000457FA">
        <w:rPr>
          <w:rFonts w:ascii="新細明體" w:eastAsia="新細明體" w:hAnsi="新細明體" w:cs="FangSong_GB2312"/>
          <w:szCs w:val="24"/>
        </w:rPr>
        <w:t>2019</w:t>
      </w:r>
      <w:r w:rsidRPr="000457FA">
        <w:rPr>
          <w:rFonts w:ascii="新細明體" w:eastAsia="新細明體" w:hAnsi="新細明體" w:cs="FangSong_GB2312" w:hint="eastAsia"/>
          <w:szCs w:val="24"/>
        </w:rPr>
        <w:t>年，廣東省消委會正式上線了“粵港澳大灣區消費投訴轉辦平</w:t>
      </w:r>
      <w:r w:rsidR="00DF7DD7">
        <w:rPr>
          <w:rFonts w:ascii="新細明體" w:eastAsia="新細明體" w:hAnsi="新細明體" w:cs="FangSong_GB2312" w:hint="eastAsia"/>
          <w:szCs w:val="24"/>
        </w:rPr>
        <w:t>台</w:t>
      </w:r>
      <w:r w:rsidRPr="000457FA">
        <w:rPr>
          <w:rFonts w:ascii="新細明體" w:eastAsia="新細明體" w:hAnsi="新細明體" w:cs="FangSong_GB2312" w:hint="eastAsia"/>
          <w:szCs w:val="24"/>
        </w:rPr>
        <w:t>”，實現了跨境投訴在平</w:t>
      </w:r>
      <w:r w:rsidR="00DF7DD7">
        <w:rPr>
          <w:rFonts w:ascii="新細明體" w:eastAsia="新細明體" w:hAnsi="新細明體" w:cs="FangSong_GB2312" w:hint="eastAsia"/>
          <w:szCs w:val="24"/>
        </w:rPr>
        <w:t>台</w:t>
      </w:r>
      <w:r w:rsidRPr="000457FA">
        <w:rPr>
          <w:rFonts w:ascii="新細明體" w:eastAsia="新細明體" w:hAnsi="新細明體" w:cs="FangSong_GB2312" w:hint="eastAsia"/>
          <w:szCs w:val="24"/>
        </w:rPr>
        <w:t>的互轉互聯互通。澳門消費者在內地購房過程中，一旦發生消費糾紛，可直接登錄廣東消費網，進入廣東消費投訴諮詢資訊化綜合平</w:t>
      </w:r>
      <w:r w:rsidR="00DF7DD7">
        <w:rPr>
          <w:rFonts w:ascii="新細明體" w:eastAsia="新細明體" w:hAnsi="新細明體" w:cs="FangSong_GB2312" w:hint="eastAsia"/>
          <w:szCs w:val="24"/>
        </w:rPr>
        <w:t>台</w:t>
      </w:r>
      <w:r w:rsidRPr="000457FA">
        <w:rPr>
          <w:rFonts w:ascii="新細明體" w:eastAsia="新細明體" w:hAnsi="新細明體" w:cs="FangSong_GB2312" w:hint="eastAsia"/>
          <w:szCs w:val="24"/>
        </w:rPr>
        <w:t>（粵港澳大灣區消費投訴轉辦平</w:t>
      </w:r>
      <w:r w:rsidR="00DF7DD7">
        <w:rPr>
          <w:rFonts w:ascii="新細明體" w:eastAsia="新細明體" w:hAnsi="新細明體" w:cs="FangSong_GB2312" w:hint="eastAsia"/>
          <w:szCs w:val="24"/>
        </w:rPr>
        <w:t>台</w:t>
      </w:r>
      <w:r w:rsidRPr="000457FA">
        <w:rPr>
          <w:rFonts w:ascii="新細明體" w:eastAsia="新細明體" w:hAnsi="新細明體" w:cs="FangSong_GB2312" w:hint="eastAsia"/>
          <w:szCs w:val="24"/>
        </w:rPr>
        <w:t>）進行投訴。</w:t>
      </w:r>
    </w:p>
    <w:p w:rsidR="00EC2955" w:rsidRPr="000457FA" w:rsidRDefault="00EC2955" w:rsidP="00797842">
      <w:pPr>
        <w:spacing w:beforeLines="20" w:before="48" w:afterLines="20" w:after="48" w:line="400" w:lineRule="atLeast"/>
        <w:jc w:val="both"/>
        <w:rPr>
          <w:rFonts w:ascii="新細明體" w:eastAsia="新細明體" w:hAnsi="新細明體"/>
          <w:szCs w:val="24"/>
        </w:rPr>
      </w:pPr>
    </w:p>
    <w:p w:rsidR="00D47E6E" w:rsidRPr="000457FA" w:rsidRDefault="00D47E6E" w:rsidP="00797842">
      <w:pPr>
        <w:spacing w:beforeLines="20" w:before="48" w:afterLines="20" w:after="48" w:line="400" w:lineRule="atLeast"/>
        <w:jc w:val="both"/>
        <w:rPr>
          <w:szCs w:val="24"/>
        </w:rPr>
      </w:pPr>
    </w:p>
    <w:sectPr w:rsidR="00D47E6E" w:rsidRPr="000457FA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34B06"/>
    <w:multiLevelType w:val="multilevel"/>
    <w:tmpl w:val="7D434B06"/>
    <w:lvl w:ilvl="0">
      <w:start w:val="1"/>
      <w:numFmt w:val="ideographDigit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457FA"/>
    <w:rsid w:val="00074EB7"/>
    <w:rsid w:val="00075A66"/>
    <w:rsid w:val="00085339"/>
    <w:rsid w:val="00086B8B"/>
    <w:rsid w:val="000A6A3E"/>
    <w:rsid w:val="0012085C"/>
    <w:rsid w:val="00125C9F"/>
    <w:rsid w:val="001466B4"/>
    <w:rsid w:val="00166C8C"/>
    <w:rsid w:val="001807EF"/>
    <w:rsid w:val="00192012"/>
    <w:rsid w:val="001B009D"/>
    <w:rsid w:val="001C29FF"/>
    <w:rsid w:val="001D16EE"/>
    <w:rsid w:val="001E3682"/>
    <w:rsid w:val="001E6070"/>
    <w:rsid w:val="001F33F3"/>
    <w:rsid w:val="0020011E"/>
    <w:rsid w:val="0022401D"/>
    <w:rsid w:val="00273FDE"/>
    <w:rsid w:val="00286E48"/>
    <w:rsid w:val="00290426"/>
    <w:rsid w:val="00293B26"/>
    <w:rsid w:val="002B6E8D"/>
    <w:rsid w:val="002B7613"/>
    <w:rsid w:val="002F6C25"/>
    <w:rsid w:val="003106B3"/>
    <w:rsid w:val="00341628"/>
    <w:rsid w:val="00346D72"/>
    <w:rsid w:val="00374E69"/>
    <w:rsid w:val="00387E20"/>
    <w:rsid w:val="003B3D32"/>
    <w:rsid w:val="003E511A"/>
    <w:rsid w:val="003E70A7"/>
    <w:rsid w:val="004064EA"/>
    <w:rsid w:val="00433D54"/>
    <w:rsid w:val="0044464F"/>
    <w:rsid w:val="004D1892"/>
    <w:rsid w:val="004D46C8"/>
    <w:rsid w:val="00500040"/>
    <w:rsid w:val="00506178"/>
    <w:rsid w:val="00542F35"/>
    <w:rsid w:val="00562971"/>
    <w:rsid w:val="00564529"/>
    <w:rsid w:val="00574239"/>
    <w:rsid w:val="0057591B"/>
    <w:rsid w:val="005A54EB"/>
    <w:rsid w:val="005E2E77"/>
    <w:rsid w:val="00653C5D"/>
    <w:rsid w:val="00657AFE"/>
    <w:rsid w:val="006707D5"/>
    <w:rsid w:val="006976F4"/>
    <w:rsid w:val="00702ABC"/>
    <w:rsid w:val="00726BDC"/>
    <w:rsid w:val="00731430"/>
    <w:rsid w:val="007361F1"/>
    <w:rsid w:val="00752F5C"/>
    <w:rsid w:val="00757A64"/>
    <w:rsid w:val="00765C6A"/>
    <w:rsid w:val="00797842"/>
    <w:rsid w:val="007A0C42"/>
    <w:rsid w:val="007C39CE"/>
    <w:rsid w:val="0080794F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F2FDE"/>
    <w:rsid w:val="0094257F"/>
    <w:rsid w:val="00956A17"/>
    <w:rsid w:val="00974F97"/>
    <w:rsid w:val="00986CC3"/>
    <w:rsid w:val="00993462"/>
    <w:rsid w:val="009A6CDC"/>
    <w:rsid w:val="009B5DA3"/>
    <w:rsid w:val="009E5914"/>
    <w:rsid w:val="00A27875"/>
    <w:rsid w:val="00A329E7"/>
    <w:rsid w:val="00A366B6"/>
    <w:rsid w:val="00A36C2C"/>
    <w:rsid w:val="00A37125"/>
    <w:rsid w:val="00A42F9F"/>
    <w:rsid w:val="00A74983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A3541"/>
    <w:rsid w:val="00BA5312"/>
    <w:rsid w:val="00BB370B"/>
    <w:rsid w:val="00BB4D19"/>
    <w:rsid w:val="00BB6E13"/>
    <w:rsid w:val="00BC5B87"/>
    <w:rsid w:val="00BD4D8C"/>
    <w:rsid w:val="00BE54CB"/>
    <w:rsid w:val="00C04A1A"/>
    <w:rsid w:val="00C16FCF"/>
    <w:rsid w:val="00C36BAD"/>
    <w:rsid w:val="00C473B8"/>
    <w:rsid w:val="00C7783C"/>
    <w:rsid w:val="00C87DA7"/>
    <w:rsid w:val="00CB009C"/>
    <w:rsid w:val="00CD0606"/>
    <w:rsid w:val="00D24B8A"/>
    <w:rsid w:val="00D27B5B"/>
    <w:rsid w:val="00D47E6E"/>
    <w:rsid w:val="00D8617A"/>
    <w:rsid w:val="00D93A53"/>
    <w:rsid w:val="00DF7DD7"/>
    <w:rsid w:val="00E70A72"/>
    <w:rsid w:val="00E71A1D"/>
    <w:rsid w:val="00E952D4"/>
    <w:rsid w:val="00EC2955"/>
    <w:rsid w:val="00EE1B15"/>
    <w:rsid w:val="00F3414A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paragraph" w:styleId="1">
    <w:name w:val="heading 1"/>
    <w:next w:val="a"/>
    <w:link w:val="10"/>
    <w:qFormat/>
    <w:rsid w:val="00EC2955"/>
    <w:pPr>
      <w:keepNext/>
      <w:keepLines/>
      <w:numPr>
        <w:numId w:val="1"/>
      </w:numPr>
      <w:tabs>
        <w:tab w:val="left" w:pos="420"/>
      </w:tabs>
      <w:outlineLvl w:val="0"/>
    </w:pPr>
    <w:rPr>
      <w:rFonts w:ascii="Times New Roman" w:eastAsia="SimHei" w:hAnsi="Times New Roman" w:cs="Times New Roman"/>
      <w:bCs/>
      <w:kern w:val="44"/>
      <w:sz w:val="30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EC2955"/>
    <w:rPr>
      <w:rFonts w:ascii="Times New Roman" w:eastAsia="SimHei" w:hAnsi="Times New Roman" w:cs="Times New Roman"/>
      <w:bCs/>
      <w:kern w:val="44"/>
      <w:sz w:val="30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341</Words>
  <Characters>1946</Characters>
  <Application>Microsoft Office Word</Application>
  <DocSecurity>0</DocSecurity>
  <Lines>16</Lines>
  <Paragraphs>4</Paragraphs>
  <ScaleCrop>false</ScaleCrop>
  <Company>CC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19</cp:revision>
  <cp:lastPrinted>2021-03-22T04:35:00Z</cp:lastPrinted>
  <dcterms:created xsi:type="dcterms:W3CDTF">2021-03-22T04:08:00Z</dcterms:created>
  <dcterms:modified xsi:type="dcterms:W3CDTF">2021-03-22T09:49:00Z</dcterms:modified>
</cp:coreProperties>
</file>