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C6" w:rsidRPr="00B22407" w:rsidRDefault="004D57FA" w:rsidP="00FB5CC6">
      <w:pPr>
        <w:spacing w:beforeLines="50" w:before="180" w:afterLines="50" w:after="180" w:line="440" w:lineRule="exact"/>
        <w:rPr>
          <w:rFonts w:ascii="Times New Roman" w:hAnsi="Times New Roman" w:cs="Times New Roman"/>
          <w:sz w:val="28"/>
          <w:szCs w:val="28"/>
        </w:rPr>
      </w:pPr>
      <w:r>
        <w:rPr>
          <w:rFonts w:ascii="Times New Roman" w:hAnsi="Times New Roman" w:cs="Times New Roman"/>
          <w:sz w:val="28"/>
          <w:szCs w:val="28"/>
        </w:rPr>
        <w:t>旅遊局</w:t>
      </w:r>
      <w:r>
        <w:rPr>
          <w:rFonts w:ascii="Times New Roman" w:hAnsi="Times New Roman" w:cs="Times New Roman" w:hint="eastAsia"/>
          <w:sz w:val="28"/>
          <w:szCs w:val="28"/>
        </w:rPr>
        <w:t xml:space="preserve"> </w:t>
      </w:r>
      <w:r w:rsidRPr="004D57FA">
        <w:rPr>
          <w:rFonts w:ascii="Times New Roman" w:hAnsi="Times New Roman" w:cs="Times New Roman"/>
          <w:sz w:val="28"/>
          <w:szCs w:val="28"/>
        </w:rPr>
        <w:t>/</w:t>
      </w:r>
      <w:r>
        <w:rPr>
          <w:rFonts w:ascii="Times New Roman" w:hAnsi="Times New Roman" w:cs="Times New Roman"/>
          <w:sz w:val="28"/>
          <w:szCs w:val="28"/>
        </w:rPr>
        <w:t xml:space="preserve"> </w:t>
      </w:r>
      <w:r w:rsidR="00FB5CC6" w:rsidRPr="00B22407">
        <w:rPr>
          <w:rFonts w:ascii="Times New Roman" w:hAnsi="Times New Roman" w:cs="Times New Roman"/>
          <w:sz w:val="28"/>
          <w:szCs w:val="28"/>
        </w:rPr>
        <w:t>經濟及科技發展局</w:t>
      </w:r>
      <w:r w:rsidR="00FB5CC6" w:rsidRPr="00B22407">
        <w:rPr>
          <w:rFonts w:ascii="Times New Roman" w:hAnsi="Times New Roman" w:cs="Times New Roman"/>
          <w:sz w:val="28"/>
          <w:szCs w:val="28"/>
        </w:rPr>
        <w:t xml:space="preserve"> / </w:t>
      </w:r>
      <w:r w:rsidR="00FB5CC6" w:rsidRPr="00B22407">
        <w:rPr>
          <w:rFonts w:ascii="Times New Roman" w:hAnsi="Times New Roman" w:cs="Times New Roman"/>
          <w:sz w:val="28"/>
          <w:szCs w:val="28"/>
        </w:rPr>
        <w:t>消費者委員會訊：</w:t>
      </w:r>
    </w:p>
    <w:p w:rsidR="009B6D25" w:rsidRDefault="009B6D25" w:rsidP="00570A47">
      <w:pPr>
        <w:spacing w:line="480" w:lineRule="exact"/>
        <w:ind w:firstLineChars="200" w:firstLine="561"/>
        <w:rPr>
          <w:rFonts w:ascii="Times New Roman" w:hAnsi="Times New Roman" w:cs="Times New Roman"/>
          <w:b/>
          <w:sz w:val="28"/>
          <w:szCs w:val="28"/>
        </w:rPr>
      </w:pPr>
    </w:p>
    <w:p w:rsidR="009B6D25" w:rsidRDefault="009B6D25" w:rsidP="00570A47">
      <w:pPr>
        <w:spacing w:line="480" w:lineRule="exact"/>
        <w:ind w:firstLineChars="200" w:firstLine="561"/>
        <w:rPr>
          <w:rFonts w:ascii="Times New Roman" w:hAnsi="Times New Roman" w:cs="Times New Roman"/>
          <w:b/>
          <w:sz w:val="28"/>
          <w:szCs w:val="28"/>
        </w:rPr>
      </w:pPr>
      <w:r w:rsidRPr="009B6D25">
        <w:rPr>
          <w:rFonts w:ascii="Times New Roman" w:hAnsi="Times New Roman" w:cs="Times New Roman" w:hint="eastAsia"/>
          <w:b/>
          <w:sz w:val="28"/>
          <w:szCs w:val="28"/>
        </w:rPr>
        <w:t>多個部門“五一”加強執勤</w:t>
      </w:r>
      <w:r w:rsidRPr="009B6D25">
        <w:rPr>
          <w:rFonts w:ascii="Times New Roman" w:hAnsi="Times New Roman" w:cs="Times New Roman" w:hint="eastAsia"/>
          <w:b/>
          <w:sz w:val="28"/>
          <w:szCs w:val="28"/>
        </w:rPr>
        <w:t xml:space="preserve"> </w:t>
      </w:r>
      <w:r>
        <w:rPr>
          <w:rFonts w:ascii="Times New Roman" w:hAnsi="Times New Roman" w:cs="Times New Roman"/>
          <w:b/>
          <w:sz w:val="28"/>
          <w:szCs w:val="28"/>
        </w:rPr>
        <w:t xml:space="preserve"> </w:t>
      </w:r>
      <w:r w:rsidRPr="009B6D25">
        <w:rPr>
          <w:rFonts w:ascii="Times New Roman" w:hAnsi="Times New Roman" w:cs="Times New Roman" w:hint="eastAsia"/>
          <w:b/>
          <w:sz w:val="28"/>
          <w:szCs w:val="28"/>
        </w:rPr>
        <w:t>確保宜遊環境與消費權益受保障</w:t>
      </w:r>
    </w:p>
    <w:p w:rsidR="009B6D25" w:rsidRPr="009B6D25" w:rsidRDefault="009B6D25" w:rsidP="00570A47">
      <w:pPr>
        <w:spacing w:line="480" w:lineRule="exact"/>
        <w:ind w:firstLineChars="200" w:firstLine="561"/>
        <w:rPr>
          <w:rFonts w:asciiTheme="minorEastAsia" w:hAnsiTheme="minorEastAsia" w:cs="Times New Roman"/>
          <w:b/>
          <w:sz w:val="28"/>
          <w:szCs w:val="28"/>
        </w:rPr>
      </w:pP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新細明體" w:hint="eastAsia"/>
          <w:color w:val="0A0A0A"/>
          <w:kern w:val="0"/>
          <w:szCs w:val="24"/>
        </w:rPr>
        <w:t>旅遊局、經濟及科技發展局以及消費者委員會在</w:t>
      </w:r>
      <w:r w:rsidRPr="009B6D25">
        <w:rPr>
          <w:rFonts w:asciiTheme="minorEastAsia" w:hAnsiTheme="minorEastAsia" w:cs="Helvetica"/>
          <w:color w:val="0A0A0A"/>
          <w:kern w:val="0"/>
          <w:szCs w:val="24"/>
        </w:rPr>
        <w:t>“</w:t>
      </w:r>
      <w:r w:rsidRPr="009B6D25">
        <w:rPr>
          <w:rFonts w:asciiTheme="minorEastAsia" w:hAnsiTheme="minorEastAsia" w:cs="新細明體" w:hint="eastAsia"/>
          <w:color w:val="0A0A0A"/>
          <w:kern w:val="0"/>
          <w:szCs w:val="24"/>
        </w:rPr>
        <w:t>五一</w:t>
      </w:r>
      <w:r w:rsidRPr="009B6D25">
        <w:rPr>
          <w:rFonts w:asciiTheme="minorEastAsia" w:hAnsiTheme="minorEastAsia" w:cs="Helvetica"/>
          <w:color w:val="0A0A0A"/>
          <w:kern w:val="0"/>
          <w:szCs w:val="24"/>
        </w:rPr>
        <w:t>”</w:t>
      </w:r>
      <w:r w:rsidRPr="009B6D25">
        <w:rPr>
          <w:rFonts w:asciiTheme="minorEastAsia" w:hAnsiTheme="minorEastAsia" w:cs="新細明體" w:hint="eastAsia"/>
          <w:color w:val="0A0A0A"/>
          <w:kern w:val="0"/>
          <w:szCs w:val="24"/>
        </w:rPr>
        <w:t>假期期間加強執勤，確保宜遊環境與消費權益受保障</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b/>
          <w:bCs/>
          <w:color w:val="0A0A0A"/>
          <w:kern w:val="0"/>
          <w:szCs w:val="24"/>
        </w:rPr>
        <w:t>呼籲防疫、巡查監</w:t>
      </w:r>
      <w:r w:rsidRPr="009B6D25">
        <w:rPr>
          <w:rFonts w:asciiTheme="minorEastAsia" w:hAnsiTheme="minorEastAsia" w:cs="新細明體"/>
          <w:b/>
          <w:bCs/>
          <w:color w:val="0A0A0A"/>
          <w:kern w:val="0"/>
          <w:szCs w:val="24"/>
        </w:rPr>
        <w:t>督</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t>澳門昨（</w:t>
      </w:r>
      <w:r w:rsidRPr="009B6D25">
        <w:rPr>
          <w:rFonts w:asciiTheme="minorEastAsia" w:hAnsiTheme="minorEastAsia" w:cs="Times New Roman"/>
          <w:color w:val="0A0A0A"/>
          <w:kern w:val="0"/>
          <w:szCs w:val="24"/>
        </w:rPr>
        <w:t>1</w:t>
      </w:r>
      <w:r w:rsidRPr="009B6D25">
        <w:rPr>
          <w:rFonts w:asciiTheme="minorEastAsia" w:hAnsiTheme="minorEastAsia" w:cs="微軟正黑體" w:hint="eastAsia"/>
          <w:color w:val="0A0A0A"/>
          <w:kern w:val="0"/>
          <w:szCs w:val="24"/>
        </w:rPr>
        <w:t>日）錄得逾</w:t>
      </w:r>
      <w:r w:rsidRPr="009B6D25">
        <w:rPr>
          <w:rFonts w:asciiTheme="minorEastAsia" w:hAnsiTheme="minorEastAsia" w:cs="Times New Roman"/>
          <w:color w:val="0A0A0A"/>
          <w:kern w:val="0"/>
          <w:szCs w:val="24"/>
        </w:rPr>
        <w:t>4</w:t>
      </w:r>
      <w:r w:rsidRPr="009B6D25">
        <w:rPr>
          <w:rFonts w:asciiTheme="minorEastAsia" w:hAnsiTheme="minorEastAsia" w:cs="微軟正黑體" w:hint="eastAsia"/>
          <w:color w:val="0A0A0A"/>
          <w:kern w:val="0"/>
          <w:szCs w:val="24"/>
        </w:rPr>
        <w:t>萬</w:t>
      </w:r>
      <w:r w:rsidRPr="009B6D25">
        <w:rPr>
          <w:rFonts w:asciiTheme="minorEastAsia" w:hAnsiTheme="minorEastAsia" w:cs="Times New Roman"/>
          <w:color w:val="0A0A0A"/>
          <w:kern w:val="0"/>
          <w:szCs w:val="24"/>
        </w:rPr>
        <w:t>4</w:t>
      </w:r>
      <w:r w:rsidRPr="009B6D25">
        <w:rPr>
          <w:rFonts w:asciiTheme="minorEastAsia" w:hAnsiTheme="minorEastAsia" w:cs="微軟正黑體" w:hint="eastAsia"/>
          <w:color w:val="0A0A0A"/>
          <w:kern w:val="0"/>
          <w:szCs w:val="24"/>
        </w:rPr>
        <w:t>千人次的單日客量新高，預期</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五一</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假期旅客增多，旅遊局在各口岸的旅客詢問處展示防疫資訊；在官方微信和微博作出防疫呼籲；印製《內地旅客遊澳防疫小貼士》單張在旅客詢問處派發；同時提醒旅遊業界遵照衛生部門發出的預防新型冠狀病毒肺炎相關建議及指引，做好防疫工作；酒店場所及行業機構亦持續協助向旅客傳遞防疫訊息</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t>此外，旅遊局督察在旅遊景點及口岸巡查，並對酒店的防疫措施進行監察，旅遊局督察</w:t>
      </w:r>
      <w:r w:rsidRPr="009B6D25">
        <w:rPr>
          <w:rFonts w:asciiTheme="minorEastAsia" w:hAnsiTheme="minorEastAsia" w:cs="Times New Roman"/>
          <w:color w:val="0A0A0A"/>
          <w:kern w:val="0"/>
          <w:szCs w:val="24"/>
        </w:rPr>
        <w:t>24</w:t>
      </w:r>
      <w:r w:rsidRPr="009B6D25">
        <w:rPr>
          <w:rFonts w:asciiTheme="minorEastAsia" w:hAnsiTheme="minorEastAsia" w:cs="微軟正黑體" w:hint="eastAsia"/>
          <w:color w:val="0A0A0A"/>
          <w:kern w:val="0"/>
          <w:szCs w:val="24"/>
        </w:rPr>
        <w:t>小時候命；旅客詢問處為旅客提供資訊，旅遊熱線</w:t>
      </w:r>
      <w:r w:rsidRPr="009B6D25">
        <w:rPr>
          <w:rFonts w:asciiTheme="minorEastAsia" w:hAnsiTheme="minorEastAsia" w:cs="Times New Roman"/>
          <w:color w:val="0A0A0A"/>
          <w:kern w:val="0"/>
          <w:szCs w:val="24"/>
        </w:rPr>
        <w:t xml:space="preserve">(853) 2833 3000 </w:t>
      </w:r>
      <w:r w:rsidRPr="009B6D25">
        <w:rPr>
          <w:rFonts w:asciiTheme="minorEastAsia" w:hAnsiTheme="minorEastAsia" w:cs="微軟正黑體" w:hint="eastAsia"/>
          <w:color w:val="0A0A0A"/>
          <w:kern w:val="0"/>
          <w:szCs w:val="24"/>
        </w:rPr>
        <w:t>如常</w:t>
      </w:r>
      <w:r w:rsidRPr="009B6D25">
        <w:rPr>
          <w:rFonts w:asciiTheme="minorEastAsia" w:hAnsiTheme="minorEastAsia" w:cs="Times New Roman"/>
          <w:color w:val="0A0A0A"/>
          <w:kern w:val="0"/>
          <w:szCs w:val="24"/>
        </w:rPr>
        <w:t>24</w:t>
      </w:r>
      <w:r w:rsidRPr="009B6D25">
        <w:rPr>
          <w:rFonts w:asciiTheme="minorEastAsia" w:hAnsiTheme="minorEastAsia" w:cs="微軟正黑體" w:hint="eastAsia"/>
          <w:color w:val="0A0A0A"/>
          <w:kern w:val="0"/>
          <w:szCs w:val="24"/>
        </w:rPr>
        <w:t>小時運作</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b/>
          <w:bCs/>
          <w:color w:val="0A0A0A"/>
          <w:kern w:val="0"/>
          <w:szCs w:val="24"/>
        </w:rPr>
        <w:t>了解營業狀況、商戶反饋正</w:t>
      </w:r>
      <w:r w:rsidRPr="009B6D25">
        <w:rPr>
          <w:rFonts w:asciiTheme="minorEastAsia" w:hAnsiTheme="minorEastAsia" w:cs="新細明體"/>
          <w:b/>
          <w:bCs/>
          <w:color w:val="0A0A0A"/>
          <w:kern w:val="0"/>
          <w:szCs w:val="24"/>
        </w:rPr>
        <w:t>面</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t>經科局於昨</w:t>
      </w:r>
      <w:r w:rsidRPr="009B6D25">
        <w:rPr>
          <w:rFonts w:asciiTheme="minorEastAsia" w:hAnsiTheme="minorEastAsia" w:cs="Times New Roman"/>
          <w:color w:val="0A0A0A"/>
          <w:kern w:val="0"/>
          <w:szCs w:val="24"/>
        </w:rPr>
        <w:t>(1)</w:t>
      </w:r>
      <w:r w:rsidRPr="009B6D25">
        <w:rPr>
          <w:rFonts w:asciiTheme="minorEastAsia" w:hAnsiTheme="minorEastAsia" w:cs="微軟正黑體" w:hint="eastAsia"/>
          <w:color w:val="0A0A0A"/>
          <w:kern w:val="0"/>
          <w:szCs w:val="24"/>
        </w:rPr>
        <w:t>日及今</w:t>
      </w:r>
      <w:r w:rsidRPr="009B6D25">
        <w:rPr>
          <w:rFonts w:asciiTheme="minorEastAsia" w:hAnsiTheme="minorEastAsia" w:cs="Times New Roman"/>
          <w:color w:val="0A0A0A"/>
          <w:kern w:val="0"/>
          <w:szCs w:val="24"/>
        </w:rPr>
        <w:t>(2)</w:t>
      </w:r>
      <w:r w:rsidRPr="009B6D25">
        <w:rPr>
          <w:rFonts w:asciiTheme="minorEastAsia" w:hAnsiTheme="minorEastAsia" w:cs="微軟正黑體" w:hint="eastAsia"/>
          <w:color w:val="0A0A0A"/>
          <w:kern w:val="0"/>
          <w:szCs w:val="24"/>
        </w:rPr>
        <w:t>日派員到大三巴、新馬路、板樟堂、議事亭前地以及氹仔官也街、地堡街等旅遊區一帶商戶宣傳食品標籤的規定及了解商戶的經營情況</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t>經初步了解，區內餐飲及零售商戶對營業狀況的反饋正面，肯定內地</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五一</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假期刺激本地消費的作用</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b/>
          <w:bCs/>
          <w:color w:val="0A0A0A"/>
          <w:kern w:val="0"/>
          <w:szCs w:val="24"/>
        </w:rPr>
        <w:t>發</w:t>
      </w:r>
      <w:r w:rsidRPr="009B6D25">
        <w:rPr>
          <w:rFonts w:asciiTheme="minorEastAsia" w:hAnsiTheme="minorEastAsia" w:cs="Helvetica"/>
          <w:b/>
          <w:bCs/>
          <w:color w:val="0A0A0A"/>
          <w:kern w:val="0"/>
          <w:szCs w:val="24"/>
        </w:rPr>
        <w:t>“</w:t>
      </w:r>
      <w:r w:rsidRPr="009B6D25">
        <w:rPr>
          <w:rFonts w:asciiTheme="minorEastAsia" w:hAnsiTheme="minorEastAsia" w:cs="微軟正黑體" w:hint="eastAsia"/>
          <w:b/>
          <w:bCs/>
          <w:color w:val="0A0A0A"/>
          <w:kern w:val="0"/>
          <w:szCs w:val="24"/>
        </w:rPr>
        <w:t>消費錦囊</w:t>
      </w:r>
      <w:r w:rsidRPr="009B6D25">
        <w:rPr>
          <w:rFonts w:asciiTheme="minorEastAsia" w:hAnsiTheme="minorEastAsia" w:cs="Helvetica"/>
          <w:b/>
          <w:bCs/>
          <w:color w:val="0A0A0A"/>
          <w:kern w:val="0"/>
          <w:szCs w:val="24"/>
        </w:rPr>
        <w:t>”</w:t>
      </w:r>
      <w:r w:rsidRPr="009B6D25">
        <w:rPr>
          <w:rFonts w:asciiTheme="minorEastAsia" w:hAnsiTheme="minorEastAsia" w:cs="微軟正黑體" w:hint="eastAsia"/>
          <w:b/>
          <w:bCs/>
          <w:color w:val="0A0A0A"/>
          <w:kern w:val="0"/>
          <w:szCs w:val="24"/>
        </w:rPr>
        <w:t>、監察</w:t>
      </w:r>
      <w:r w:rsidRPr="009B6D25">
        <w:rPr>
          <w:rFonts w:asciiTheme="minorEastAsia" w:hAnsiTheme="minorEastAsia" w:cs="Helvetica"/>
          <w:b/>
          <w:bCs/>
          <w:color w:val="0A0A0A"/>
          <w:kern w:val="0"/>
          <w:szCs w:val="24"/>
        </w:rPr>
        <w:t>“</w:t>
      </w:r>
      <w:r w:rsidRPr="009B6D25">
        <w:rPr>
          <w:rFonts w:asciiTheme="minorEastAsia" w:hAnsiTheme="minorEastAsia" w:cs="微軟正黑體" w:hint="eastAsia"/>
          <w:b/>
          <w:bCs/>
          <w:color w:val="0A0A0A"/>
          <w:kern w:val="0"/>
          <w:szCs w:val="24"/>
        </w:rPr>
        <w:t>消保易</w:t>
      </w:r>
      <w:r w:rsidRPr="009B6D25">
        <w:rPr>
          <w:rFonts w:asciiTheme="minorEastAsia" w:hAnsiTheme="minorEastAsia" w:cs="Helvetica"/>
          <w:b/>
          <w:bCs/>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t>消委會加強對旅客的查詢及投訴的回應工作，假期期間安排專人密切監察</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消保易</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及其他投訴渠道的使用情況，在旅客有需要時提供及時與適切的協助</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t>在</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五一</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假期前已在內地發出</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消費錦囊</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，廣泛宣傳</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誠信店</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認可計劃、</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消保易</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網上投訴平台，以及</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澳門消費爭議調解及仲裁中心</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專為旅客而設的跨域調解及仲裁服務，讓旅客更安心在澳消費</w:t>
      </w:r>
      <w:r w:rsidRPr="009B6D25">
        <w:rPr>
          <w:rFonts w:asciiTheme="minorEastAsia" w:hAnsiTheme="minorEastAsia" w:cs="新細明體"/>
          <w:color w:val="0A0A0A"/>
          <w:kern w:val="0"/>
          <w:szCs w:val="24"/>
        </w:rPr>
        <w:t>。</w:t>
      </w:r>
    </w:p>
    <w:p w:rsidR="009B6D25" w:rsidRPr="009B6D25" w:rsidRDefault="009B6D25" w:rsidP="009B6D25">
      <w:pPr>
        <w:widowControl/>
        <w:shd w:val="clear" w:color="auto" w:fill="FFFFFF"/>
        <w:spacing w:before="100" w:beforeAutospacing="1" w:after="100" w:afterAutospacing="1"/>
        <w:ind w:firstLine="480"/>
        <w:jc w:val="both"/>
        <w:rPr>
          <w:rFonts w:asciiTheme="minorEastAsia" w:hAnsiTheme="minorEastAsia" w:cs="Times New Roman"/>
          <w:color w:val="0A0A0A"/>
          <w:kern w:val="0"/>
          <w:szCs w:val="24"/>
        </w:rPr>
      </w:pPr>
      <w:r w:rsidRPr="009B6D25">
        <w:rPr>
          <w:rFonts w:asciiTheme="minorEastAsia" w:hAnsiTheme="minorEastAsia" w:cs="微軟正黑體" w:hint="eastAsia"/>
          <w:color w:val="0A0A0A"/>
          <w:kern w:val="0"/>
          <w:szCs w:val="24"/>
        </w:rPr>
        <w:lastRenderedPageBreak/>
        <w:t>消委會已敦促</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誠信店</w:t>
      </w:r>
      <w:r w:rsidRPr="009B6D25">
        <w:rPr>
          <w:rFonts w:asciiTheme="minorEastAsia" w:hAnsiTheme="minorEastAsia" w:cs="Helvetica"/>
          <w:color w:val="0A0A0A"/>
          <w:kern w:val="0"/>
          <w:szCs w:val="24"/>
        </w:rPr>
        <w:t>”</w:t>
      </w:r>
      <w:r w:rsidRPr="009B6D25">
        <w:rPr>
          <w:rFonts w:asciiTheme="minorEastAsia" w:hAnsiTheme="minorEastAsia" w:cs="微軟正黑體" w:hint="eastAsia"/>
          <w:color w:val="0A0A0A"/>
          <w:kern w:val="0"/>
          <w:szCs w:val="24"/>
        </w:rPr>
        <w:t>為旅客提供更優質的服務，讓旅客在澳期間能夠有美好及信心的消費體驗</w:t>
      </w:r>
      <w:r w:rsidRPr="009B6D25">
        <w:rPr>
          <w:rFonts w:asciiTheme="minorEastAsia" w:hAnsiTheme="minorEastAsia" w:cs="新細明體"/>
          <w:color w:val="0A0A0A"/>
          <w:kern w:val="0"/>
          <w:szCs w:val="24"/>
        </w:rPr>
        <w:t>。</w:t>
      </w:r>
    </w:p>
    <w:p w:rsidR="006608A2" w:rsidRPr="00B22407" w:rsidRDefault="006608A2" w:rsidP="009B6D25">
      <w:pPr>
        <w:spacing w:beforeLines="50" w:before="180" w:afterLines="50" w:after="180" w:line="440" w:lineRule="exact"/>
        <w:ind w:firstLineChars="200" w:firstLine="560"/>
        <w:jc w:val="right"/>
        <w:rPr>
          <w:rFonts w:ascii="Times New Roman" w:hAnsi="Times New Roman" w:cs="Times New Roman"/>
          <w:sz w:val="28"/>
          <w:szCs w:val="28"/>
        </w:rPr>
      </w:pPr>
      <w:r>
        <w:rPr>
          <w:rFonts w:ascii="Times New Roman" w:hAnsi="Times New Roman" w:cs="Times New Roman" w:hint="eastAsia"/>
          <w:sz w:val="28"/>
          <w:szCs w:val="28"/>
        </w:rPr>
        <w:t>2021</w:t>
      </w:r>
      <w:r>
        <w:rPr>
          <w:rFonts w:ascii="Times New Roman" w:hAnsi="Times New Roman" w:cs="Times New Roman" w:hint="eastAsia"/>
          <w:sz w:val="28"/>
          <w:szCs w:val="28"/>
        </w:rPr>
        <w:t>年</w:t>
      </w:r>
      <w:r w:rsidR="009B6D25">
        <w:rPr>
          <w:rFonts w:ascii="Times New Roman" w:hAnsi="Times New Roman" w:cs="Times New Roman"/>
          <w:sz w:val="28"/>
          <w:szCs w:val="28"/>
        </w:rPr>
        <w:t>5</w:t>
      </w:r>
      <w:r>
        <w:rPr>
          <w:rFonts w:ascii="Times New Roman" w:hAnsi="Times New Roman" w:cs="Times New Roman" w:hint="eastAsia"/>
          <w:sz w:val="28"/>
          <w:szCs w:val="28"/>
        </w:rPr>
        <w:t>月</w:t>
      </w:r>
      <w:bookmarkStart w:id="0" w:name="_GoBack"/>
      <w:bookmarkEnd w:id="0"/>
      <w:r w:rsidR="00847409">
        <w:rPr>
          <w:rFonts w:ascii="Times New Roman" w:hAnsi="Times New Roman" w:cs="Times New Roman" w:hint="eastAsia"/>
          <w:sz w:val="28"/>
          <w:szCs w:val="28"/>
        </w:rPr>
        <w:t>3</w:t>
      </w:r>
      <w:r>
        <w:rPr>
          <w:rFonts w:ascii="Times New Roman" w:hAnsi="Times New Roman" w:cs="Times New Roman" w:hint="eastAsia"/>
          <w:sz w:val="28"/>
          <w:szCs w:val="28"/>
        </w:rPr>
        <w:t>日</w:t>
      </w:r>
    </w:p>
    <w:p w:rsidR="00820A3B" w:rsidRPr="00B22407" w:rsidRDefault="00820A3B">
      <w:pPr>
        <w:spacing w:line="480" w:lineRule="exact"/>
        <w:rPr>
          <w:rFonts w:ascii="Times New Roman" w:hAnsi="Times New Roman" w:cs="Times New Roman"/>
          <w:sz w:val="28"/>
          <w:szCs w:val="28"/>
        </w:rPr>
      </w:pPr>
    </w:p>
    <w:sectPr w:rsidR="00820A3B" w:rsidRPr="00B224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70" w:rsidRDefault="00D71A70" w:rsidP="00D71A70">
      <w:r>
        <w:separator/>
      </w:r>
    </w:p>
  </w:endnote>
  <w:endnote w:type="continuationSeparator" w:id="0">
    <w:p w:rsidR="00D71A70" w:rsidRDefault="00D71A70" w:rsidP="00D7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70" w:rsidRDefault="00D71A70" w:rsidP="00D71A70">
      <w:r>
        <w:separator/>
      </w:r>
    </w:p>
  </w:footnote>
  <w:footnote w:type="continuationSeparator" w:id="0">
    <w:p w:rsidR="00D71A70" w:rsidRDefault="00D71A70" w:rsidP="00D71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50626"/>
    <w:multiLevelType w:val="hybridMultilevel"/>
    <w:tmpl w:val="387EBB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B0"/>
    <w:rsid w:val="00041967"/>
    <w:rsid w:val="000421DF"/>
    <w:rsid w:val="00044A63"/>
    <w:rsid w:val="00090D17"/>
    <w:rsid w:val="00095491"/>
    <w:rsid w:val="00152136"/>
    <w:rsid w:val="001555A9"/>
    <w:rsid w:val="0018181B"/>
    <w:rsid w:val="001C22ED"/>
    <w:rsid w:val="001C271A"/>
    <w:rsid w:val="00212EDE"/>
    <w:rsid w:val="0022148D"/>
    <w:rsid w:val="00236D55"/>
    <w:rsid w:val="002454B0"/>
    <w:rsid w:val="0026399B"/>
    <w:rsid w:val="002A3E9B"/>
    <w:rsid w:val="00302F58"/>
    <w:rsid w:val="004B4060"/>
    <w:rsid w:val="004D57FA"/>
    <w:rsid w:val="00513D9B"/>
    <w:rsid w:val="0056451B"/>
    <w:rsid w:val="00570A47"/>
    <w:rsid w:val="006000D8"/>
    <w:rsid w:val="00651386"/>
    <w:rsid w:val="006608A2"/>
    <w:rsid w:val="006A48CC"/>
    <w:rsid w:val="007A00AE"/>
    <w:rsid w:val="00820A3B"/>
    <w:rsid w:val="00847409"/>
    <w:rsid w:val="008B24E0"/>
    <w:rsid w:val="008C657F"/>
    <w:rsid w:val="008D0C0A"/>
    <w:rsid w:val="008D2BB1"/>
    <w:rsid w:val="009A62B7"/>
    <w:rsid w:val="009B6D25"/>
    <w:rsid w:val="00A25311"/>
    <w:rsid w:val="00A91E09"/>
    <w:rsid w:val="00A961C3"/>
    <w:rsid w:val="00AF0B53"/>
    <w:rsid w:val="00B00AB2"/>
    <w:rsid w:val="00B22407"/>
    <w:rsid w:val="00BD7DB2"/>
    <w:rsid w:val="00C51937"/>
    <w:rsid w:val="00C81111"/>
    <w:rsid w:val="00CB64CE"/>
    <w:rsid w:val="00D201DD"/>
    <w:rsid w:val="00D71A70"/>
    <w:rsid w:val="00DF174D"/>
    <w:rsid w:val="00E25E53"/>
    <w:rsid w:val="00EC7082"/>
    <w:rsid w:val="00F93A72"/>
    <w:rsid w:val="00FB5C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D1377D8-5E84-4BC9-A40B-AE9D1FF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A63"/>
    <w:pPr>
      <w:jc w:val="right"/>
    </w:pPr>
  </w:style>
  <w:style w:type="character" w:customStyle="1" w:styleId="a4">
    <w:name w:val="日期 字元"/>
    <w:basedOn w:val="a0"/>
    <w:link w:val="a3"/>
    <w:uiPriority w:val="99"/>
    <w:semiHidden/>
    <w:rsid w:val="00044A63"/>
  </w:style>
  <w:style w:type="paragraph" w:styleId="a5">
    <w:name w:val="List Paragraph"/>
    <w:basedOn w:val="a"/>
    <w:link w:val="a6"/>
    <w:uiPriority w:val="34"/>
    <w:qFormat/>
    <w:rsid w:val="00651386"/>
    <w:pPr>
      <w:ind w:leftChars="200" w:left="480"/>
    </w:pPr>
  </w:style>
  <w:style w:type="character" w:customStyle="1" w:styleId="a6">
    <w:name w:val="清單段落 字元"/>
    <w:link w:val="a5"/>
    <w:uiPriority w:val="34"/>
    <w:locked/>
    <w:rsid w:val="00651386"/>
  </w:style>
  <w:style w:type="paragraph" w:styleId="Web">
    <w:name w:val="Normal (Web)"/>
    <w:basedOn w:val="a"/>
    <w:uiPriority w:val="99"/>
    <w:semiHidden/>
    <w:unhideWhenUsed/>
    <w:rsid w:val="00651386"/>
    <w:pPr>
      <w:widowControl/>
      <w:spacing w:before="100" w:beforeAutospacing="1" w:after="100" w:afterAutospacing="1"/>
    </w:pPr>
    <w:rPr>
      <w:rFonts w:ascii="Times New Roman" w:eastAsia="Times New Roman" w:hAnsi="Times New Roman" w:cs="Times New Roman"/>
      <w:kern w:val="0"/>
      <w:szCs w:val="24"/>
    </w:rPr>
  </w:style>
  <w:style w:type="character" w:styleId="a7">
    <w:name w:val="Hyperlink"/>
    <w:basedOn w:val="a0"/>
    <w:uiPriority w:val="99"/>
    <w:unhideWhenUsed/>
    <w:rsid w:val="008B24E0"/>
    <w:rPr>
      <w:color w:val="0000FF" w:themeColor="hyperlink"/>
      <w:u w:val="single"/>
    </w:rPr>
  </w:style>
  <w:style w:type="paragraph" w:styleId="a8">
    <w:name w:val="header"/>
    <w:basedOn w:val="a"/>
    <w:link w:val="a9"/>
    <w:uiPriority w:val="99"/>
    <w:unhideWhenUsed/>
    <w:rsid w:val="00D71A70"/>
    <w:pPr>
      <w:tabs>
        <w:tab w:val="center" w:pos="4153"/>
        <w:tab w:val="right" w:pos="8306"/>
      </w:tabs>
      <w:snapToGrid w:val="0"/>
    </w:pPr>
    <w:rPr>
      <w:sz w:val="20"/>
      <w:szCs w:val="20"/>
    </w:rPr>
  </w:style>
  <w:style w:type="character" w:customStyle="1" w:styleId="a9">
    <w:name w:val="頁首 字元"/>
    <w:basedOn w:val="a0"/>
    <w:link w:val="a8"/>
    <w:uiPriority w:val="99"/>
    <w:rsid w:val="00D71A70"/>
    <w:rPr>
      <w:sz w:val="20"/>
      <w:szCs w:val="20"/>
    </w:rPr>
  </w:style>
  <w:style w:type="paragraph" w:styleId="aa">
    <w:name w:val="footer"/>
    <w:basedOn w:val="a"/>
    <w:link w:val="ab"/>
    <w:uiPriority w:val="99"/>
    <w:unhideWhenUsed/>
    <w:rsid w:val="00D71A70"/>
    <w:pPr>
      <w:tabs>
        <w:tab w:val="center" w:pos="4153"/>
        <w:tab w:val="right" w:pos="8306"/>
      </w:tabs>
      <w:snapToGrid w:val="0"/>
    </w:pPr>
    <w:rPr>
      <w:sz w:val="20"/>
      <w:szCs w:val="20"/>
    </w:rPr>
  </w:style>
  <w:style w:type="character" w:customStyle="1" w:styleId="ab">
    <w:name w:val="頁尾 字元"/>
    <w:basedOn w:val="a0"/>
    <w:link w:val="aa"/>
    <w:uiPriority w:val="99"/>
    <w:rsid w:val="00D71A70"/>
    <w:rPr>
      <w:sz w:val="20"/>
      <w:szCs w:val="20"/>
    </w:rPr>
  </w:style>
  <w:style w:type="paragraph" w:styleId="ac">
    <w:name w:val="Balloon Text"/>
    <w:basedOn w:val="a"/>
    <w:link w:val="ad"/>
    <w:uiPriority w:val="99"/>
    <w:semiHidden/>
    <w:unhideWhenUsed/>
    <w:rsid w:val="00F93A7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93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1642">
      <w:bodyDiv w:val="1"/>
      <w:marLeft w:val="0"/>
      <w:marRight w:val="0"/>
      <w:marTop w:val="0"/>
      <w:marBottom w:val="0"/>
      <w:divBdr>
        <w:top w:val="none" w:sz="0" w:space="0" w:color="auto"/>
        <w:left w:val="none" w:sz="0" w:space="0" w:color="auto"/>
        <w:bottom w:val="none" w:sz="0" w:space="0" w:color="auto"/>
        <w:right w:val="none" w:sz="0" w:space="0" w:color="auto"/>
      </w:divBdr>
    </w:div>
    <w:div w:id="876284474">
      <w:bodyDiv w:val="1"/>
      <w:marLeft w:val="0"/>
      <w:marRight w:val="0"/>
      <w:marTop w:val="0"/>
      <w:marBottom w:val="0"/>
      <w:divBdr>
        <w:top w:val="none" w:sz="0" w:space="0" w:color="auto"/>
        <w:left w:val="none" w:sz="0" w:space="0" w:color="auto"/>
        <w:bottom w:val="none" w:sz="0" w:space="0" w:color="auto"/>
        <w:right w:val="none" w:sz="0" w:space="0" w:color="auto"/>
      </w:divBdr>
    </w:div>
    <w:div w:id="1248610769">
      <w:bodyDiv w:val="1"/>
      <w:marLeft w:val="0"/>
      <w:marRight w:val="0"/>
      <w:marTop w:val="0"/>
      <w:marBottom w:val="0"/>
      <w:divBdr>
        <w:top w:val="none" w:sz="0" w:space="0" w:color="auto"/>
        <w:left w:val="none" w:sz="0" w:space="0" w:color="auto"/>
        <w:bottom w:val="none" w:sz="0" w:space="0" w:color="auto"/>
        <w:right w:val="none" w:sz="0" w:space="0" w:color="auto"/>
      </w:divBdr>
    </w:div>
    <w:div w:id="1463573392">
      <w:bodyDiv w:val="1"/>
      <w:marLeft w:val="0"/>
      <w:marRight w:val="0"/>
      <w:marTop w:val="0"/>
      <w:marBottom w:val="0"/>
      <w:divBdr>
        <w:top w:val="none" w:sz="0" w:space="0" w:color="auto"/>
        <w:left w:val="none" w:sz="0" w:space="0" w:color="auto"/>
        <w:bottom w:val="none" w:sz="0" w:space="0" w:color="auto"/>
        <w:right w:val="none" w:sz="0" w:space="0" w:color="auto"/>
      </w:divBdr>
    </w:div>
    <w:div w:id="1591573693">
      <w:bodyDiv w:val="1"/>
      <w:marLeft w:val="0"/>
      <w:marRight w:val="0"/>
      <w:marTop w:val="0"/>
      <w:marBottom w:val="0"/>
      <w:divBdr>
        <w:top w:val="none" w:sz="0" w:space="0" w:color="auto"/>
        <w:left w:val="none" w:sz="0" w:space="0" w:color="auto"/>
        <w:bottom w:val="none" w:sz="0" w:space="0" w:color="auto"/>
        <w:right w:val="none" w:sz="0" w:space="0" w:color="auto"/>
      </w:divBdr>
    </w:div>
    <w:div w:id="1597128324">
      <w:bodyDiv w:val="1"/>
      <w:marLeft w:val="0"/>
      <w:marRight w:val="0"/>
      <w:marTop w:val="0"/>
      <w:marBottom w:val="0"/>
      <w:divBdr>
        <w:top w:val="none" w:sz="0" w:space="0" w:color="auto"/>
        <w:left w:val="none" w:sz="0" w:space="0" w:color="auto"/>
        <w:bottom w:val="none" w:sz="0" w:space="0" w:color="auto"/>
        <w:right w:val="none" w:sz="0" w:space="0" w:color="auto"/>
      </w:divBdr>
    </w:div>
    <w:div w:id="20290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652A-9951-470E-B74E-7AF24417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630</Characters>
  <Application>Microsoft Office Word</Application>
  <DocSecurity>0</DocSecurity>
  <Lines>5</Lines>
  <Paragraphs>1</Paragraphs>
  <ScaleCrop>false</ScaleCrop>
  <Company>澳門經濟局 Direcção dos Serviços de Economia</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Un Ut Mui</cp:lastModifiedBy>
  <cp:revision>4</cp:revision>
  <cp:lastPrinted>2021-04-23T01:45:00Z</cp:lastPrinted>
  <dcterms:created xsi:type="dcterms:W3CDTF">2021-05-06T04:00:00Z</dcterms:created>
  <dcterms:modified xsi:type="dcterms:W3CDTF">2021-05-06T04:03:00Z</dcterms:modified>
</cp:coreProperties>
</file>