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0F2DAE" w:rsidRDefault="00CA6CBA" w:rsidP="000F2DAE">
      <w:pPr>
        <w:spacing w:beforeLines="30" w:before="72" w:afterLines="30" w:after="72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消費者委員會</w:t>
      </w:r>
      <w:r w:rsidR="000F2DAE"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訊：</w:t>
      </w:r>
    </w:p>
    <w:p w:rsidR="000F2DAE" w:rsidRPr="000F2DAE" w:rsidRDefault="000F2DAE" w:rsidP="000F2DAE">
      <w:pPr>
        <w:spacing w:beforeLines="30" w:before="72" w:afterLines="30" w:after="72"/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</w:p>
    <w:p w:rsidR="006C3FE3" w:rsidRPr="000F2DAE" w:rsidRDefault="002E3508" w:rsidP="000F2DAE">
      <w:pPr>
        <w:spacing w:beforeLines="30" w:before="72" w:afterLines="30" w:after="72"/>
        <w:jc w:val="center"/>
        <w:rPr>
          <w:rFonts w:asciiTheme="minorEastAsia" w:eastAsiaTheme="minorEastAsia" w:hAnsiTheme="minorEastAsia"/>
          <w:b/>
          <w:snapToGrid w:val="0"/>
          <w:sz w:val="32"/>
          <w:szCs w:val="32"/>
        </w:rPr>
      </w:pPr>
      <w:r w:rsidRPr="000F2DAE"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第335期《澳門消費》</w:t>
      </w:r>
      <w:r w:rsidR="001863C0" w:rsidRPr="000F2DAE"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已出版</w:t>
      </w:r>
    </w:p>
    <w:p w:rsidR="002E3508" w:rsidRPr="000F2DAE" w:rsidRDefault="002E3508" w:rsidP="00D771CB">
      <w:pPr>
        <w:spacing w:beforeLines="50" w:before="120" w:afterLines="50" w:after="120" w:line="400" w:lineRule="atLeast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</w:p>
    <w:p w:rsidR="006C3FE3" w:rsidRPr="000F2DAE" w:rsidRDefault="006C3FE3" w:rsidP="00D771CB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b/>
          <w:snapToGrid w:val="0"/>
          <w:sz w:val="28"/>
          <w:szCs w:val="28"/>
          <w:lang w:eastAsia="zh-HK"/>
        </w:rPr>
        <w:tab/>
      </w:r>
      <w:r w:rsidR="00BB4D3A" w:rsidRPr="000F2DAE">
        <w:rPr>
          <w:rFonts w:asciiTheme="minorEastAsia" w:eastAsiaTheme="minorEastAsia" w:hAnsiTheme="minorEastAsia"/>
          <w:snapToGrid w:val="0"/>
          <w:sz w:val="28"/>
          <w:szCs w:val="28"/>
          <w:lang w:eastAsia="zh-HK"/>
        </w:rPr>
        <w:t>消費者委員會新出版的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</w:t>
      </w:r>
      <w:r w:rsidR="00BB4D3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刊登</w:t>
      </w:r>
      <w:r w:rsidR="009678CE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“</w:t>
      </w:r>
      <w:r w:rsidR="009404F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2</w:t>
      </w:r>
      <w:r w:rsidR="009404F3" w:rsidRPr="000F2DAE">
        <w:rPr>
          <w:rFonts w:asciiTheme="minorEastAsia" w:eastAsiaTheme="minorEastAsia" w:hAnsiTheme="minorEastAsia"/>
          <w:snapToGrid w:val="0"/>
          <w:sz w:val="28"/>
          <w:szCs w:val="28"/>
        </w:rPr>
        <w:t>021</w:t>
      </w:r>
      <w:r w:rsidR="00BB4D3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澳珠兩地嬰幼兒潤膚霜聯合比較試驗</w:t>
      </w:r>
      <w:r w:rsidR="009404F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結果</w:t>
      </w:r>
      <w:r w:rsidR="009678CE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”</w:t>
      </w:r>
      <w:r w:rsidR="00374870" w:rsidRPr="000F2DAE">
        <w:rPr>
          <w:rFonts w:asciiTheme="minorEastAsia" w:eastAsiaTheme="minorEastAsia" w:hAnsiTheme="minorEastAsia"/>
          <w:snapToGrid w:val="0"/>
          <w:sz w:val="28"/>
          <w:szCs w:val="28"/>
        </w:rPr>
        <w:t>，同時</w:t>
      </w:r>
      <w:r w:rsidR="00BB4D3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介紹</w:t>
      </w:r>
      <w:r w:rsidR="00A8561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《消費者權益保護法》賦予</w:t>
      </w:r>
      <w:r w:rsidR="00BB4D3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消費者的</w:t>
      </w:r>
      <w:r w:rsidR="00695028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主要</w:t>
      </w:r>
      <w:r w:rsidR="00BB4D3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權利。</w:t>
      </w:r>
    </w:p>
    <w:p w:rsidR="003A119B" w:rsidRPr="000F2DAE" w:rsidRDefault="003A119B" w:rsidP="00D771CB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="003F18D3" w:rsidRPr="000F2DAE">
        <w:rPr>
          <w:rFonts w:asciiTheme="minorEastAsia" w:eastAsiaTheme="minorEastAsia" w:hAnsiTheme="minorEastAsia"/>
          <w:b/>
          <w:snapToGrid w:val="0"/>
          <w:sz w:val="28"/>
          <w:szCs w:val="28"/>
        </w:rPr>
        <w:t>澳珠</w:t>
      </w:r>
      <w:r w:rsidR="00AB3C8B" w:rsidRPr="000F2DAE">
        <w:rPr>
          <w:rFonts w:asciiTheme="minorEastAsia" w:eastAsiaTheme="minorEastAsia" w:hAnsiTheme="minorEastAsia"/>
          <w:b/>
          <w:snapToGrid w:val="0"/>
          <w:sz w:val="28"/>
          <w:szCs w:val="28"/>
        </w:rPr>
        <w:t>合作抽查</w:t>
      </w:r>
      <w:r w:rsidR="009404F3"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20款</w:t>
      </w:r>
      <w:r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嬰幼兒潤膚霜</w:t>
      </w:r>
      <w:r w:rsidR="009404F3"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均合格</w:t>
      </w:r>
    </w:p>
    <w:p w:rsidR="001814EB" w:rsidRPr="000F2DAE" w:rsidRDefault="006C3FE3" w:rsidP="00D771CB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="00D10B41" w:rsidRPr="000F2DAE">
        <w:rPr>
          <w:rFonts w:asciiTheme="minorEastAsia" w:eastAsiaTheme="minorEastAsia" w:hAnsiTheme="minorEastAsia"/>
          <w:snapToGrid w:val="0"/>
          <w:sz w:val="28"/>
          <w:szCs w:val="28"/>
        </w:rPr>
        <w:t>因應</w:t>
      </w:r>
      <w:r w:rsidR="00D10B41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粵港澳大灣區居民互動消費頻繁趨勢，大灣區消費者組織加強聯合抽查產品，協力為大灣區構建</w:t>
      </w:r>
      <w:r w:rsidR="001814EB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更具</w:t>
      </w:r>
      <w:r w:rsidR="00D10B41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信心及更</w:t>
      </w:r>
      <w:r w:rsidR="001814EB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為安心的消費環境。</w:t>
      </w:r>
    </w:p>
    <w:p w:rsidR="001814EB" w:rsidRPr="000F2DAE" w:rsidRDefault="00D10B41" w:rsidP="00D771C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澳門消委會與珠海市消費者權益保護委員會</w:t>
      </w:r>
      <w:r w:rsidR="007C7238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合作</w:t>
      </w:r>
      <w:r w:rsidR="0037487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，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公佈澳珠兩地嬰幼兒潤膚霜聯合比較試驗</w:t>
      </w:r>
      <w:r w:rsidR="009404F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結果的報告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，</w:t>
      </w:r>
      <w:r w:rsidR="009404F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20款嬰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幼兒潤膚霜</w:t>
      </w:r>
      <w:r w:rsidR="001814EB" w:rsidRPr="000F2DAE">
        <w:rPr>
          <w:rFonts w:asciiTheme="minorEastAsia" w:eastAsiaTheme="minorEastAsia" w:hAnsiTheme="minorEastAsia"/>
          <w:snapToGrid w:val="0"/>
          <w:sz w:val="28"/>
          <w:szCs w:val="28"/>
        </w:rPr>
        <w:t>全部樣本</w:t>
      </w:r>
      <w:r w:rsidR="009404F3" w:rsidRPr="000F2DAE">
        <w:rPr>
          <w:rFonts w:asciiTheme="minorEastAsia" w:eastAsiaTheme="minorEastAsia" w:hAnsiTheme="minorEastAsia"/>
          <w:snapToGrid w:val="0"/>
          <w:sz w:val="28"/>
          <w:szCs w:val="28"/>
        </w:rPr>
        <w:t>均</w:t>
      </w:r>
      <w:r w:rsidR="001814EB" w:rsidRPr="000F2DAE">
        <w:rPr>
          <w:rFonts w:asciiTheme="minorEastAsia" w:eastAsiaTheme="minorEastAsia" w:hAnsiTheme="minorEastAsia"/>
          <w:snapToGrid w:val="0"/>
          <w:sz w:val="28"/>
          <w:szCs w:val="28"/>
        </w:rPr>
        <w:t>通過</w:t>
      </w:r>
      <w:r w:rsidR="001814EB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中國對化妝品規定</w:t>
      </w:r>
      <w:r w:rsidR="007C7238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的安全標準</w:t>
      </w:r>
      <w:r w:rsidR="001814EB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，包括符合6種重金屬、苯氧乙醇等6種或會導致刺激嬰幼兒皮膚的防腐劑、41種糖皮質激素；以及金黃色葡萄球菌等致病微生物</w:t>
      </w:r>
      <w:r w:rsidR="00A134B2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的</w:t>
      </w:r>
      <w:r w:rsidR="009404F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相關標準</w:t>
      </w:r>
      <w:r w:rsidR="001814EB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。</w:t>
      </w:r>
    </w:p>
    <w:p w:rsidR="00D10B41" w:rsidRPr="000F2DAE" w:rsidRDefault="00B11706" w:rsidP="00D771C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以上</w:t>
      </w:r>
      <w:r w:rsidR="00D10B41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報告</w:t>
      </w:r>
      <w:r w:rsidR="003F18D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以及</w:t>
      </w:r>
      <w:r w:rsidR="0006128E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相關的</w:t>
      </w:r>
      <w:r w:rsidR="00D10B41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選購“消費提示”詳細刊登於</w:t>
      </w:r>
      <w:r w:rsidR="0037487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第335期</w:t>
      </w:r>
      <w:r w:rsidR="007E188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的</w:t>
      </w:r>
      <w:r w:rsidR="00D10B41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新一期《澳門消費》。</w:t>
      </w:r>
    </w:p>
    <w:p w:rsidR="001E6BFA" w:rsidRPr="000F2DAE" w:rsidRDefault="001E6BFA" w:rsidP="00D771C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b/>
          <w:snapToGrid w:val="0"/>
          <w:sz w:val="28"/>
          <w:szCs w:val="28"/>
        </w:rPr>
        <w:t>專題介紹</w:t>
      </w:r>
      <w:r w:rsidR="006A1E32" w:rsidRPr="006A1E32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《消費者權益保護法》</w:t>
      </w:r>
      <w:r w:rsidR="0070635F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中</w:t>
      </w:r>
      <w:r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消費者</w:t>
      </w:r>
      <w:r w:rsidR="0070635F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可享有</w:t>
      </w:r>
      <w:r w:rsidR="001863C0"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的</w:t>
      </w:r>
      <w:r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權利</w:t>
      </w:r>
    </w:p>
    <w:p w:rsidR="00A1673D" w:rsidRPr="000F2DAE" w:rsidRDefault="006C3FE3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《消費者權益保護法》</w:t>
      </w:r>
      <w:r w:rsidR="00705D9A">
        <w:rPr>
          <w:rFonts w:asciiTheme="minorEastAsia" w:eastAsiaTheme="minorEastAsia" w:hAnsiTheme="minorEastAsia"/>
          <w:snapToGrid w:val="0"/>
          <w:sz w:val="28"/>
          <w:szCs w:val="28"/>
        </w:rPr>
        <w:t>（</w:t>
      </w:r>
      <w:r w:rsidR="00374870" w:rsidRPr="000F2DAE">
        <w:rPr>
          <w:rFonts w:asciiTheme="minorEastAsia" w:eastAsiaTheme="minorEastAsia" w:hAnsiTheme="minorEastAsia"/>
          <w:snapToGrid w:val="0"/>
          <w:sz w:val="28"/>
          <w:szCs w:val="28"/>
        </w:rPr>
        <w:t>第</w:t>
      </w:r>
      <w:r w:rsidR="0037487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9</w:t>
      </w:r>
      <w:r w:rsidR="00374870" w:rsidRPr="000F2DAE">
        <w:rPr>
          <w:rFonts w:asciiTheme="minorEastAsia" w:eastAsiaTheme="minorEastAsia" w:hAnsiTheme="minorEastAsia"/>
          <w:snapToGrid w:val="0"/>
          <w:sz w:val="28"/>
          <w:szCs w:val="28"/>
        </w:rPr>
        <w:t>/2021號法律</w:t>
      </w:r>
      <w:r w:rsidR="00705D9A">
        <w:rPr>
          <w:rFonts w:asciiTheme="minorEastAsia" w:eastAsiaTheme="minorEastAsia" w:hAnsiTheme="minorEastAsia"/>
          <w:snapToGrid w:val="0"/>
          <w:sz w:val="28"/>
          <w:szCs w:val="28"/>
        </w:rPr>
        <w:t>）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將於明年</w:t>
      </w:r>
      <w:r w:rsidR="007E188A" w:rsidRPr="000F2DAE">
        <w:rPr>
          <w:rFonts w:asciiTheme="minorEastAsia" w:eastAsiaTheme="minorEastAsia" w:hAnsiTheme="minorEastAsia"/>
          <w:snapToGrid w:val="0"/>
          <w:sz w:val="28"/>
          <w:szCs w:val="28"/>
        </w:rPr>
        <w:t>1</w:t>
      </w:r>
      <w:r w:rsidR="007E188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月1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日實施</w:t>
      </w:r>
      <w:r w:rsidR="00E10634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，相關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普法</w:t>
      </w:r>
      <w:r w:rsidR="007E188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工作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將循序漸進</w:t>
      </w:r>
      <w:r w:rsidR="00A1673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向消費者及</w:t>
      </w:r>
      <w:r w:rsidR="00074929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經營者進行廣泛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宣傳</w:t>
      </w:r>
      <w:r w:rsidR="00A1673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。</w:t>
      </w:r>
    </w:p>
    <w:p w:rsidR="00A573CD" w:rsidRPr="000F2DAE" w:rsidRDefault="00A1673D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="009404F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新出版的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《澳門消費》介紹消費者在《消費者權益保護法》保障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下</w:t>
      </w:r>
      <w:r w:rsidR="00AA562B">
        <w:rPr>
          <w:rFonts w:asciiTheme="minorEastAsia" w:eastAsiaTheme="minorEastAsia" w:hAnsiTheme="minorEastAsia" w:hint="eastAsia"/>
          <w:snapToGrid w:val="0"/>
          <w:sz w:val="28"/>
          <w:szCs w:val="28"/>
        </w:rPr>
        <w:t>，重點在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享有取得商品及服務</w:t>
      </w:r>
      <w:r w:rsidR="007E188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的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必要資</w:t>
      </w:r>
      <w:r w:rsidR="00FE5C85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訊</w:t>
      </w:r>
      <w:r w:rsidR="00FE5C85" w:rsidRPr="000F2DAE">
        <w:rPr>
          <w:rFonts w:asciiTheme="minorEastAsia" w:eastAsiaTheme="minorEastAsia" w:hAnsiTheme="minorEastAsia"/>
          <w:snapToGrid w:val="0"/>
          <w:sz w:val="28"/>
          <w:szCs w:val="28"/>
        </w:rPr>
        <w:t>、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可</w:t>
      </w:r>
      <w:r w:rsidR="007E188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向經營者索取收據</w:t>
      </w:r>
      <w:r w:rsidR="00FE5C85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，以及在訂立“遠程訂立的合同”、“商業場所以外訂立的合同”</w:t>
      </w:r>
      <w:r w:rsidR="0006128E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與</w:t>
      </w:r>
      <w:r w:rsidR="00FE5C85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“預繳式合同”</w:t>
      </w:r>
      <w:bookmarkStart w:id="0" w:name="_GoBack"/>
      <w:bookmarkEnd w:id="0"/>
      <w:r w:rsidR="00FE5C85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享有自由解除合同等權利</w:t>
      </w:r>
      <w:r w:rsidR="008F5BD8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，消費者透過有關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介紹將可更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深入認識自身的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消費權益</w:t>
      </w:r>
      <w:r w:rsidR="007F041D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。</w:t>
      </w:r>
    </w:p>
    <w:p w:rsidR="001863C0" w:rsidRPr="000F2DAE" w:rsidRDefault="001863C0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="000C1D4A"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“</w:t>
      </w:r>
      <w:r w:rsidR="000C1D4A" w:rsidRPr="000F2DAE">
        <w:rPr>
          <w:rFonts w:asciiTheme="minorEastAsia" w:eastAsiaTheme="minorEastAsia" w:hAnsiTheme="minorEastAsia"/>
          <w:b/>
          <w:snapToGrid w:val="0"/>
          <w:sz w:val="28"/>
          <w:szCs w:val="28"/>
        </w:rPr>
        <w:t>消費提示</w:t>
      </w:r>
      <w:r w:rsidR="000C1D4A"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”</w:t>
      </w:r>
      <w:r w:rsidRPr="000F2DAE">
        <w:rPr>
          <w:rFonts w:asciiTheme="minorEastAsia" w:eastAsiaTheme="minorEastAsia" w:hAnsiTheme="minorEastAsia"/>
          <w:b/>
          <w:snapToGrid w:val="0"/>
          <w:sz w:val="28"/>
          <w:szCs w:val="28"/>
        </w:rPr>
        <w:t>預防</w:t>
      </w:r>
      <w:r w:rsidR="000C1D4A" w:rsidRPr="000F2DAE">
        <w:rPr>
          <w:rFonts w:asciiTheme="minorEastAsia" w:eastAsiaTheme="minorEastAsia" w:hAnsiTheme="minorEastAsia"/>
          <w:b/>
          <w:snapToGrid w:val="0"/>
          <w:sz w:val="28"/>
          <w:szCs w:val="28"/>
        </w:rPr>
        <w:t>跨境</w:t>
      </w:r>
      <w:r w:rsidRPr="000F2DA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網購爭議</w:t>
      </w:r>
    </w:p>
    <w:p w:rsidR="009404F3" w:rsidRPr="000F2DAE" w:rsidRDefault="00D42EC4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澳</w:t>
      </w:r>
      <w:r w:rsidR="009404F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韓消費者組織</w:t>
      </w:r>
      <w:r w:rsidR="007E188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簽訂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合作協議，合作範圍包括</w:t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投訴個案相互轉介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及分享維權信息</w:t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。</w:t>
      </w:r>
    </w:p>
    <w:p w:rsidR="00D42EC4" w:rsidRPr="000F2DAE" w:rsidRDefault="009404F3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為預防澳門消費者因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跨境網購</w:t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K-pop等相關商品發生爭議，</w:t>
      </w:r>
      <w:r w:rsidR="00D42EC4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這一期《澳門消費》轉發一則</w:t>
      </w:r>
      <w:r w:rsidR="00510AFC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來自韓國</w:t>
      </w:r>
      <w:r w:rsidR="00D42EC4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“消費提示”，</w:t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提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示</w:t>
      </w:r>
      <w:r w:rsidR="00510AFC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內容</w:t>
      </w:r>
      <w:r w:rsidR="00A134B2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由</w:t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韓國消費者院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發出的</w:t>
      </w:r>
      <w:r w:rsidR="0040190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維權錦囊及</w:t>
      </w:r>
      <w:r w:rsidR="007E188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提供</w:t>
      </w:r>
      <w:r w:rsidR="0040190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各種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跨境</w:t>
      </w:r>
      <w:r w:rsidR="0040190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投訴</w:t>
      </w:r>
      <w:r w:rsidR="007E188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的</w:t>
      </w:r>
      <w:r w:rsidR="0040190A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途徑。</w:t>
      </w:r>
    </w:p>
    <w:p w:rsidR="0040190A" w:rsidRPr="000F2DAE" w:rsidRDefault="0040190A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  <w:t>其他內容包括介紹消委會第二季進行的各項工作及舉辦的活動，</w:t>
      </w:r>
      <w:r w:rsidR="001863C0" w:rsidRPr="000F2DAE">
        <w:rPr>
          <w:rFonts w:asciiTheme="minorEastAsia" w:eastAsiaTheme="minorEastAsia" w:hAnsiTheme="minorEastAsia"/>
          <w:snapToGrid w:val="0"/>
          <w:sz w:val="28"/>
          <w:szCs w:val="28"/>
        </w:rPr>
        <w:t>報導</w:t>
      </w: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>內地已於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4</w:t>
      </w: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>月實施的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《反食品浪費法》其</w:t>
      </w:r>
      <w:r w:rsidR="00A134B2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頒佈的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目的及</w:t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執行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措施，</w:t>
      </w:r>
      <w:r w:rsidR="00A134B2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消委會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藉</w:t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有關的報導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提高</w:t>
      </w:r>
      <w:r w:rsidR="00033B81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居民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保護環境</w:t>
      </w:r>
      <w:r w:rsidR="001863C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的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 xml:space="preserve">意識，以實際行動來響應消委會“珍惜食物 </w:t>
      </w: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 xml:space="preserve"> 拒絕浪費</w:t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”的呼籲。</w:t>
      </w:r>
    </w:p>
    <w:p w:rsidR="006C3FE3" w:rsidRPr="000F2DAE" w:rsidRDefault="0040190A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="006C3FE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消費者可登入消委會網頁(www.consumer.gov.mo)及微信(WeChat)</w:t>
      </w:r>
      <w:r w:rsidR="00FC4E80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帳號瀏覽新一期</w:t>
      </w:r>
      <w:r w:rsidR="006C3FE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《澳門消費》，亦可親臨高士德大馬路26號何鴻燊夫人大廈消委會辦事處、黑沙環新街52號政府綜合服務大樓1樓M區，以及於水坑尾方圓廣場政府資訊</w:t>
      </w:r>
      <w:r w:rsidR="006C3FE3"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lastRenderedPageBreak/>
        <w:t>中心、文化局屬下各公共圖書館、八角亭圖書館及澳門文化廣場等地點免費索取《澳門消費》。</w:t>
      </w:r>
    </w:p>
    <w:p w:rsidR="006C3FE3" w:rsidRPr="000F2DAE" w:rsidRDefault="006C3FE3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0F2DAE"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Pr="000F2DAE">
        <w:rPr>
          <w:rFonts w:asciiTheme="minorEastAsia" w:eastAsiaTheme="minorEastAsia" w:hAnsiTheme="minorEastAsia" w:hint="eastAsia"/>
          <w:snapToGrid w:val="0"/>
          <w:sz w:val="28"/>
          <w:szCs w:val="28"/>
        </w:rPr>
        <w:t>消委會查詢電話：8988 9315。</w:t>
      </w:r>
    </w:p>
    <w:p w:rsidR="006C3FE3" w:rsidRPr="000F2DAE" w:rsidRDefault="006C3FE3" w:rsidP="00D771C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eastAsiaTheme="minorEastAsia"/>
          <w:sz w:val="28"/>
          <w:szCs w:val="28"/>
        </w:rPr>
      </w:pPr>
      <w:r w:rsidRPr="000F2DAE">
        <w:rPr>
          <w:rFonts w:ascii="細明體" w:hint="eastAsia"/>
          <w:snapToGrid w:val="0"/>
          <w:sz w:val="28"/>
          <w:szCs w:val="28"/>
        </w:rPr>
        <w:t>2</w:t>
      </w:r>
      <w:r w:rsidR="00416BE1" w:rsidRPr="000F2DAE">
        <w:rPr>
          <w:rFonts w:ascii="細明體"/>
          <w:snapToGrid w:val="0"/>
          <w:sz w:val="28"/>
          <w:szCs w:val="28"/>
        </w:rPr>
        <w:t>021-08</w:t>
      </w:r>
      <w:r w:rsidRPr="000F2DAE">
        <w:rPr>
          <w:rFonts w:ascii="細明體"/>
          <w:snapToGrid w:val="0"/>
          <w:sz w:val="28"/>
          <w:szCs w:val="28"/>
        </w:rPr>
        <w:t>-0</w:t>
      </w:r>
      <w:r w:rsidR="00416BE1" w:rsidRPr="000F2DAE">
        <w:rPr>
          <w:rFonts w:ascii="細明體"/>
          <w:snapToGrid w:val="0"/>
          <w:sz w:val="28"/>
          <w:szCs w:val="28"/>
        </w:rPr>
        <w:t>2</w:t>
      </w:r>
    </w:p>
    <w:sectPr w:rsidR="006C3FE3" w:rsidRPr="000F2DAE" w:rsidSect="000F2DAE">
      <w:pgSz w:w="11906" w:h="16838" w:code="9"/>
      <w:pgMar w:top="284" w:right="1134" w:bottom="23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91" w:rsidRDefault="00E34891" w:rsidP="000D49BF">
      <w:pPr>
        <w:spacing w:line="240" w:lineRule="auto"/>
      </w:pPr>
      <w:r>
        <w:separator/>
      </w:r>
    </w:p>
  </w:endnote>
  <w:endnote w:type="continuationSeparator" w:id="0">
    <w:p w:rsidR="00E34891" w:rsidRDefault="00E34891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91" w:rsidRDefault="00E34891" w:rsidP="000D49BF">
      <w:pPr>
        <w:spacing w:line="240" w:lineRule="auto"/>
      </w:pPr>
      <w:r>
        <w:separator/>
      </w:r>
    </w:p>
  </w:footnote>
  <w:footnote w:type="continuationSeparator" w:id="0">
    <w:p w:rsidR="00E34891" w:rsidRDefault="00E34891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14164"/>
    <w:rsid w:val="00020AF5"/>
    <w:rsid w:val="00025439"/>
    <w:rsid w:val="00030747"/>
    <w:rsid w:val="000313DB"/>
    <w:rsid w:val="00033B81"/>
    <w:rsid w:val="0003569E"/>
    <w:rsid w:val="00037AFE"/>
    <w:rsid w:val="00046573"/>
    <w:rsid w:val="00047798"/>
    <w:rsid w:val="000517B5"/>
    <w:rsid w:val="00051BC9"/>
    <w:rsid w:val="00052E5F"/>
    <w:rsid w:val="00056DD1"/>
    <w:rsid w:val="0006128E"/>
    <w:rsid w:val="0006349F"/>
    <w:rsid w:val="0006648F"/>
    <w:rsid w:val="00067C27"/>
    <w:rsid w:val="00074929"/>
    <w:rsid w:val="00074ADF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438E"/>
    <w:rsid w:val="000B76FF"/>
    <w:rsid w:val="000B7D27"/>
    <w:rsid w:val="000C0858"/>
    <w:rsid w:val="000C11AB"/>
    <w:rsid w:val="000C1D4A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1328"/>
    <w:rsid w:val="000E6DB6"/>
    <w:rsid w:val="000E7B1A"/>
    <w:rsid w:val="000F2DAE"/>
    <w:rsid w:val="000F439A"/>
    <w:rsid w:val="000F6643"/>
    <w:rsid w:val="00100A9A"/>
    <w:rsid w:val="00101BDB"/>
    <w:rsid w:val="00106EF2"/>
    <w:rsid w:val="00106F20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519A0"/>
    <w:rsid w:val="00151E14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14EB"/>
    <w:rsid w:val="00181F41"/>
    <w:rsid w:val="00184FC1"/>
    <w:rsid w:val="001863C0"/>
    <w:rsid w:val="0018780B"/>
    <w:rsid w:val="0019099E"/>
    <w:rsid w:val="00191499"/>
    <w:rsid w:val="0019344C"/>
    <w:rsid w:val="001A3021"/>
    <w:rsid w:val="001A383B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3485"/>
    <w:rsid w:val="001E4C86"/>
    <w:rsid w:val="001E6BFA"/>
    <w:rsid w:val="001E7EF4"/>
    <w:rsid w:val="001F488F"/>
    <w:rsid w:val="0020197F"/>
    <w:rsid w:val="002023BA"/>
    <w:rsid w:val="00202ED0"/>
    <w:rsid w:val="00203C1D"/>
    <w:rsid w:val="00207E78"/>
    <w:rsid w:val="002109C6"/>
    <w:rsid w:val="00210E4B"/>
    <w:rsid w:val="00217E78"/>
    <w:rsid w:val="00217EF4"/>
    <w:rsid w:val="00220A31"/>
    <w:rsid w:val="00221882"/>
    <w:rsid w:val="00221FEA"/>
    <w:rsid w:val="00224D76"/>
    <w:rsid w:val="00226868"/>
    <w:rsid w:val="00232851"/>
    <w:rsid w:val="00232F43"/>
    <w:rsid w:val="0023371F"/>
    <w:rsid w:val="00236C0E"/>
    <w:rsid w:val="00245B56"/>
    <w:rsid w:val="00251368"/>
    <w:rsid w:val="0025424B"/>
    <w:rsid w:val="00254FA9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C585F"/>
    <w:rsid w:val="002C60B6"/>
    <w:rsid w:val="002C635B"/>
    <w:rsid w:val="002C704F"/>
    <w:rsid w:val="002D0A3D"/>
    <w:rsid w:val="002D4A84"/>
    <w:rsid w:val="002D7E38"/>
    <w:rsid w:val="002E3508"/>
    <w:rsid w:val="002E453F"/>
    <w:rsid w:val="002F0AAB"/>
    <w:rsid w:val="002F33A0"/>
    <w:rsid w:val="002F407E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B12"/>
    <w:rsid w:val="00361F63"/>
    <w:rsid w:val="003638CF"/>
    <w:rsid w:val="0037166B"/>
    <w:rsid w:val="00374870"/>
    <w:rsid w:val="0037616F"/>
    <w:rsid w:val="003A119B"/>
    <w:rsid w:val="003A1E2A"/>
    <w:rsid w:val="003A51A3"/>
    <w:rsid w:val="003A7423"/>
    <w:rsid w:val="003A7F26"/>
    <w:rsid w:val="003B5195"/>
    <w:rsid w:val="003B6B34"/>
    <w:rsid w:val="003C0779"/>
    <w:rsid w:val="003C2B7E"/>
    <w:rsid w:val="003C3977"/>
    <w:rsid w:val="003C56BA"/>
    <w:rsid w:val="003C7D08"/>
    <w:rsid w:val="003D5279"/>
    <w:rsid w:val="003E16ED"/>
    <w:rsid w:val="003E41BB"/>
    <w:rsid w:val="003E76BA"/>
    <w:rsid w:val="003F18D3"/>
    <w:rsid w:val="0040190A"/>
    <w:rsid w:val="004029FC"/>
    <w:rsid w:val="00404527"/>
    <w:rsid w:val="004101EF"/>
    <w:rsid w:val="00410865"/>
    <w:rsid w:val="00414137"/>
    <w:rsid w:val="00416BE1"/>
    <w:rsid w:val="0042370C"/>
    <w:rsid w:val="004278CA"/>
    <w:rsid w:val="00430917"/>
    <w:rsid w:val="00430E19"/>
    <w:rsid w:val="00431F4D"/>
    <w:rsid w:val="00433E0A"/>
    <w:rsid w:val="00434B66"/>
    <w:rsid w:val="00436997"/>
    <w:rsid w:val="0043723E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68AC"/>
    <w:rsid w:val="004A7643"/>
    <w:rsid w:val="004B4F5F"/>
    <w:rsid w:val="004B6BCE"/>
    <w:rsid w:val="004D4E66"/>
    <w:rsid w:val="004E2723"/>
    <w:rsid w:val="004E3B2A"/>
    <w:rsid w:val="004E4107"/>
    <w:rsid w:val="004E42E3"/>
    <w:rsid w:val="004E57B4"/>
    <w:rsid w:val="004F1E08"/>
    <w:rsid w:val="004F2D06"/>
    <w:rsid w:val="004F3C91"/>
    <w:rsid w:val="004F45A1"/>
    <w:rsid w:val="004F6D2C"/>
    <w:rsid w:val="00503BF5"/>
    <w:rsid w:val="00505A75"/>
    <w:rsid w:val="00510AFC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4E7F"/>
    <w:rsid w:val="00540FEF"/>
    <w:rsid w:val="00541E55"/>
    <w:rsid w:val="0054510C"/>
    <w:rsid w:val="00545CB5"/>
    <w:rsid w:val="00547036"/>
    <w:rsid w:val="00552F7A"/>
    <w:rsid w:val="00560634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453D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7E3"/>
    <w:rsid w:val="00673BE2"/>
    <w:rsid w:val="0067761A"/>
    <w:rsid w:val="0068621E"/>
    <w:rsid w:val="006926BB"/>
    <w:rsid w:val="006928D2"/>
    <w:rsid w:val="00694179"/>
    <w:rsid w:val="00695028"/>
    <w:rsid w:val="006A1E32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3FE3"/>
    <w:rsid w:val="006C4F37"/>
    <w:rsid w:val="006D2206"/>
    <w:rsid w:val="006D3D1B"/>
    <w:rsid w:val="006D5B3E"/>
    <w:rsid w:val="006D6A93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05D9A"/>
    <w:rsid w:val="0070635F"/>
    <w:rsid w:val="00711876"/>
    <w:rsid w:val="00711A34"/>
    <w:rsid w:val="00715F05"/>
    <w:rsid w:val="00716DFE"/>
    <w:rsid w:val="007206F4"/>
    <w:rsid w:val="007218C3"/>
    <w:rsid w:val="00723823"/>
    <w:rsid w:val="007326B5"/>
    <w:rsid w:val="00741A1B"/>
    <w:rsid w:val="00742611"/>
    <w:rsid w:val="0074345A"/>
    <w:rsid w:val="00743BCB"/>
    <w:rsid w:val="00745E55"/>
    <w:rsid w:val="007478CC"/>
    <w:rsid w:val="007479CE"/>
    <w:rsid w:val="00751E30"/>
    <w:rsid w:val="00753C06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913A7"/>
    <w:rsid w:val="007A3A45"/>
    <w:rsid w:val="007A659E"/>
    <w:rsid w:val="007B4EC2"/>
    <w:rsid w:val="007B7CB2"/>
    <w:rsid w:val="007C0D1E"/>
    <w:rsid w:val="007C1289"/>
    <w:rsid w:val="007C5A3A"/>
    <w:rsid w:val="007C7238"/>
    <w:rsid w:val="007D2F4F"/>
    <w:rsid w:val="007D66D5"/>
    <w:rsid w:val="007E1209"/>
    <w:rsid w:val="007E188A"/>
    <w:rsid w:val="007E3F8C"/>
    <w:rsid w:val="007E68D5"/>
    <w:rsid w:val="007E6935"/>
    <w:rsid w:val="007E6B88"/>
    <w:rsid w:val="007E7571"/>
    <w:rsid w:val="007E7C06"/>
    <w:rsid w:val="007F041D"/>
    <w:rsid w:val="007F0804"/>
    <w:rsid w:val="007F48EC"/>
    <w:rsid w:val="007F539C"/>
    <w:rsid w:val="007F5FFC"/>
    <w:rsid w:val="00801A3C"/>
    <w:rsid w:val="00810A07"/>
    <w:rsid w:val="00812381"/>
    <w:rsid w:val="008152D5"/>
    <w:rsid w:val="00817B48"/>
    <w:rsid w:val="00820CF3"/>
    <w:rsid w:val="00822205"/>
    <w:rsid w:val="00822269"/>
    <w:rsid w:val="00823315"/>
    <w:rsid w:val="00824A46"/>
    <w:rsid w:val="00826715"/>
    <w:rsid w:val="00830F0B"/>
    <w:rsid w:val="00831AED"/>
    <w:rsid w:val="008415AD"/>
    <w:rsid w:val="0084201B"/>
    <w:rsid w:val="008422DB"/>
    <w:rsid w:val="00842A46"/>
    <w:rsid w:val="00850E71"/>
    <w:rsid w:val="00851DB1"/>
    <w:rsid w:val="008554EA"/>
    <w:rsid w:val="008559F0"/>
    <w:rsid w:val="00855BD2"/>
    <w:rsid w:val="008647A7"/>
    <w:rsid w:val="008720CB"/>
    <w:rsid w:val="00876066"/>
    <w:rsid w:val="0087716A"/>
    <w:rsid w:val="00877D33"/>
    <w:rsid w:val="00880BC4"/>
    <w:rsid w:val="0088147B"/>
    <w:rsid w:val="0088220A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5BD8"/>
    <w:rsid w:val="008F6B37"/>
    <w:rsid w:val="009134A8"/>
    <w:rsid w:val="00915F2B"/>
    <w:rsid w:val="00916489"/>
    <w:rsid w:val="009177F8"/>
    <w:rsid w:val="009255AE"/>
    <w:rsid w:val="009404F3"/>
    <w:rsid w:val="009516AF"/>
    <w:rsid w:val="00955849"/>
    <w:rsid w:val="00955D49"/>
    <w:rsid w:val="0095749D"/>
    <w:rsid w:val="00964FA5"/>
    <w:rsid w:val="00966136"/>
    <w:rsid w:val="009678CE"/>
    <w:rsid w:val="00972EF7"/>
    <w:rsid w:val="0097319E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6964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E2A33"/>
    <w:rsid w:val="009F35A7"/>
    <w:rsid w:val="009F4860"/>
    <w:rsid w:val="009F5291"/>
    <w:rsid w:val="009F6EE0"/>
    <w:rsid w:val="00A00688"/>
    <w:rsid w:val="00A01089"/>
    <w:rsid w:val="00A01736"/>
    <w:rsid w:val="00A0409D"/>
    <w:rsid w:val="00A040CD"/>
    <w:rsid w:val="00A04255"/>
    <w:rsid w:val="00A114A9"/>
    <w:rsid w:val="00A134B2"/>
    <w:rsid w:val="00A1673D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51C74"/>
    <w:rsid w:val="00A52EBE"/>
    <w:rsid w:val="00A55195"/>
    <w:rsid w:val="00A573CD"/>
    <w:rsid w:val="00A63E6A"/>
    <w:rsid w:val="00A71471"/>
    <w:rsid w:val="00A718A7"/>
    <w:rsid w:val="00A746DF"/>
    <w:rsid w:val="00A8015A"/>
    <w:rsid w:val="00A85610"/>
    <w:rsid w:val="00A8622D"/>
    <w:rsid w:val="00A8751C"/>
    <w:rsid w:val="00A92205"/>
    <w:rsid w:val="00A95188"/>
    <w:rsid w:val="00A962BF"/>
    <w:rsid w:val="00A96CD3"/>
    <w:rsid w:val="00AA17EB"/>
    <w:rsid w:val="00AA562B"/>
    <w:rsid w:val="00AA7F71"/>
    <w:rsid w:val="00AB0388"/>
    <w:rsid w:val="00AB1205"/>
    <w:rsid w:val="00AB2A5B"/>
    <w:rsid w:val="00AB3C8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1706"/>
    <w:rsid w:val="00B15F31"/>
    <w:rsid w:val="00B17BB0"/>
    <w:rsid w:val="00B249C1"/>
    <w:rsid w:val="00B24B08"/>
    <w:rsid w:val="00B25B27"/>
    <w:rsid w:val="00B309E6"/>
    <w:rsid w:val="00B334D7"/>
    <w:rsid w:val="00B33F00"/>
    <w:rsid w:val="00B359FD"/>
    <w:rsid w:val="00B37E4D"/>
    <w:rsid w:val="00B416FF"/>
    <w:rsid w:val="00B517AC"/>
    <w:rsid w:val="00B51C8A"/>
    <w:rsid w:val="00B51ED6"/>
    <w:rsid w:val="00B5200B"/>
    <w:rsid w:val="00B554E6"/>
    <w:rsid w:val="00B56DC5"/>
    <w:rsid w:val="00B60896"/>
    <w:rsid w:val="00B632FA"/>
    <w:rsid w:val="00B65F4E"/>
    <w:rsid w:val="00B67EE7"/>
    <w:rsid w:val="00B72493"/>
    <w:rsid w:val="00B724EA"/>
    <w:rsid w:val="00B737A0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3116"/>
    <w:rsid w:val="00BB4D3A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1DC9"/>
    <w:rsid w:val="00C35874"/>
    <w:rsid w:val="00C36E0A"/>
    <w:rsid w:val="00C42A85"/>
    <w:rsid w:val="00C43618"/>
    <w:rsid w:val="00C43667"/>
    <w:rsid w:val="00C43B30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82F68"/>
    <w:rsid w:val="00C86EB8"/>
    <w:rsid w:val="00C91FC6"/>
    <w:rsid w:val="00C9244C"/>
    <w:rsid w:val="00C92D19"/>
    <w:rsid w:val="00C94183"/>
    <w:rsid w:val="00C95782"/>
    <w:rsid w:val="00CA22C4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0B41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2EC4"/>
    <w:rsid w:val="00D43D98"/>
    <w:rsid w:val="00D47F62"/>
    <w:rsid w:val="00D5115B"/>
    <w:rsid w:val="00D51719"/>
    <w:rsid w:val="00D54FF6"/>
    <w:rsid w:val="00D555ED"/>
    <w:rsid w:val="00D565E4"/>
    <w:rsid w:val="00D63583"/>
    <w:rsid w:val="00D63CA3"/>
    <w:rsid w:val="00D67D5C"/>
    <w:rsid w:val="00D71D3E"/>
    <w:rsid w:val="00D73949"/>
    <w:rsid w:val="00D753FA"/>
    <w:rsid w:val="00D767BD"/>
    <w:rsid w:val="00D771CB"/>
    <w:rsid w:val="00D8004A"/>
    <w:rsid w:val="00D8763E"/>
    <w:rsid w:val="00D940EB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411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2E33"/>
    <w:rsid w:val="00DF3954"/>
    <w:rsid w:val="00DF4AB1"/>
    <w:rsid w:val="00DF615C"/>
    <w:rsid w:val="00E01E6D"/>
    <w:rsid w:val="00E02C29"/>
    <w:rsid w:val="00E066F3"/>
    <w:rsid w:val="00E10634"/>
    <w:rsid w:val="00E13C93"/>
    <w:rsid w:val="00E23B01"/>
    <w:rsid w:val="00E25BC2"/>
    <w:rsid w:val="00E30DA5"/>
    <w:rsid w:val="00E3222B"/>
    <w:rsid w:val="00E33147"/>
    <w:rsid w:val="00E34137"/>
    <w:rsid w:val="00E3427C"/>
    <w:rsid w:val="00E34891"/>
    <w:rsid w:val="00E42E1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23EE"/>
    <w:rsid w:val="00EC3E8A"/>
    <w:rsid w:val="00ED2C33"/>
    <w:rsid w:val="00ED4718"/>
    <w:rsid w:val="00ED63D2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4E80"/>
    <w:rsid w:val="00FC767B"/>
    <w:rsid w:val="00FD10AE"/>
    <w:rsid w:val="00FD25AD"/>
    <w:rsid w:val="00FD3A37"/>
    <w:rsid w:val="00FE16A7"/>
    <w:rsid w:val="00FE3816"/>
    <w:rsid w:val="00FE5C85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6171-D84E-4D25-AEFB-6F0033FC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96</Characters>
  <Application>Microsoft Office Word</Application>
  <DocSecurity>0</DocSecurity>
  <Lines>1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2</cp:revision>
  <cp:lastPrinted>2021-07-28T04:09:00Z</cp:lastPrinted>
  <dcterms:created xsi:type="dcterms:W3CDTF">2021-08-02T10:09:00Z</dcterms:created>
  <dcterms:modified xsi:type="dcterms:W3CDTF">2021-08-02T10:09:00Z</dcterms:modified>
</cp:coreProperties>
</file>