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6385160F" w:rsidR="00234C41" w:rsidRDefault="001E4D45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O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ns, 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com vista a elevar a transparência de preços,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B764C6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9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mais 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2B911CA2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>
        <w:rPr>
          <w:rFonts w:eastAsiaTheme="minorEastAsia"/>
          <w:kern w:val="0"/>
          <w:sz w:val="28"/>
          <w:szCs w:val="28"/>
          <w:lang w:val="pt-PT" w:eastAsia="zh-HK"/>
        </w:rPr>
        <w:t>centenas de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 xml:space="preserve">mais recentes em relação aos produtos de diversos supermercados de Macau durante o mês corrente, pelo que, recomenda-se aos consumidores recorrerem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Os consumidores agora podem consultar os dados mais actualizados da investigação de preços em supermercados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25B37B1F" w:rsidR="009C54AB" w:rsidRPr="00B51D19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B764C6">
        <w:rPr>
          <w:rFonts w:eastAsiaTheme="minorEastAsia"/>
          <w:kern w:val="0"/>
          <w:sz w:val="28"/>
          <w:szCs w:val="28"/>
          <w:lang w:val="pt-PT" w:eastAsia="zh-HK"/>
        </w:rPr>
        <w:t>4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B764C6">
        <w:rPr>
          <w:rFonts w:eastAsiaTheme="minorEastAsia"/>
          <w:kern w:val="0"/>
          <w:sz w:val="28"/>
          <w:szCs w:val="28"/>
          <w:lang w:val="pt-PT" w:eastAsia="zh-HK"/>
        </w:rPr>
        <w:t>9</w:t>
      </w:r>
    </w:p>
    <w:sectPr w:rsidR="009C54AB" w:rsidRPr="00B51D19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2A83"/>
    <w:rsid w:val="008C547A"/>
    <w:rsid w:val="008D013B"/>
    <w:rsid w:val="008D3F79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40FA6"/>
    <w:rsid w:val="00D422A9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4</cp:revision>
  <cp:lastPrinted>2023-08-15T03:45:00Z</cp:lastPrinted>
  <dcterms:created xsi:type="dcterms:W3CDTF">2025-03-26T06:44:00Z</dcterms:created>
  <dcterms:modified xsi:type="dcterms:W3CDTF">2025-04-09T04:51:00Z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