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2E89" w14:textId="42F9BBF8" w:rsidR="00856B4E" w:rsidRPr="0081697F" w:rsidRDefault="00856B4E" w:rsidP="00BA6609">
      <w:pPr>
        <w:spacing w:beforeLines="50" w:before="120" w:afterLines="50" w:after="120" w:line="400" w:lineRule="exact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  <w:r w:rsidRPr="0081697F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Informação do Conselho de Consumidores</w:t>
      </w:r>
    </w:p>
    <w:p w14:paraId="666EF82D" w14:textId="538FAF76" w:rsidR="00F4463F" w:rsidRDefault="00F4463F" w:rsidP="00BA6609">
      <w:pPr>
        <w:spacing w:beforeLines="50" w:before="120" w:afterLines="50" w:after="120" w:line="400" w:lineRule="exact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</w:p>
    <w:p w14:paraId="4A4B2D2A" w14:textId="77777777" w:rsidR="002A2700" w:rsidRPr="0081697F" w:rsidRDefault="002A2700" w:rsidP="00BA6609">
      <w:pPr>
        <w:spacing w:beforeLines="50" w:before="120" w:afterLines="50" w:after="120" w:line="400" w:lineRule="exact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</w:p>
    <w:p w14:paraId="6388E5A4" w14:textId="7201E789" w:rsidR="00856B4E" w:rsidRPr="0081697F" w:rsidRDefault="00856B4E" w:rsidP="00575902">
      <w:pPr>
        <w:spacing w:beforeLines="50" w:before="120" w:afterLines="50" w:after="120" w:line="40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pt-PT"/>
        </w:rPr>
      </w:pPr>
      <w:bookmarkStart w:id="0" w:name="_Hlk198198847"/>
      <w:r w:rsidRPr="0081697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pt-PT"/>
        </w:rPr>
        <w:t>Organizações de consumidores de Macau e de Portugal aprofundam a cooperação estudando a criação</w:t>
      </w:r>
      <w:r w:rsidR="00E50E2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pt-PT"/>
        </w:rPr>
        <w:t xml:space="preserve"> conjunta</w:t>
      </w:r>
      <w:r w:rsidRPr="0081697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pt-PT"/>
        </w:rPr>
        <w:t xml:space="preserve"> da plataforma de mediação e arbitragem transfronteiriça</w:t>
      </w:r>
    </w:p>
    <w:p w14:paraId="1E63333F" w14:textId="77777777" w:rsidR="00300AF6" w:rsidRPr="0081697F" w:rsidRDefault="00300AF6" w:rsidP="00300AF6">
      <w:pPr>
        <w:spacing w:beforeLines="50" w:before="120" w:afterLines="50" w:after="120" w:line="40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pt-PT"/>
        </w:rPr>
      </w:pPr>
    </w:p>
    <w:p w14:paraId="4FBD8B0C" w14:textId="20D8C398" w:rsidR="00856B4E" w:rsidRPr="0081697F" w:rsidRDefault="00856B4E" w:rsidP="00491D13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  <w:bookmarkStart w:id="1" w:name="_Hlk198031347"/>
      <w:r w:rsidRPr="0081697F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O Conselho de Consumidores do Governo da RAEM (CC) realizou acções de intercâmbio com a Direcção-Geral do Consumidor de Portugal (DGC) </w:t>
      </w:r>
      <w:r w:rsidR="00E50E28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n</w:t>
      </w:r>
      <w:r w:rsidRPr="0081697F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os dias 13 e 14 de Maio, tendo as partes alcançado um consentimento preliminar sobre o aprofundamento da cooperação, assim como sobre o fomento </w:t>
      </w:r>
      <w:r w:rsidR="00E50E28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da</w:t>
      </w:r>
      <w:r w:rsidRPr="0081697F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criação do mecanismo de mediação e arbitragem transfronteiriça entre o CC e o Centro de Arbitragem de Conflitos de Consumo de Lisboa (CACCL) e </w:t>
      </w:r>
      <w:r w:rsidR="00E50E28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da</w:t>
      </w:r>
      <w:r w:rsidR="00E50E28" w:rsidRPr="0081697F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</w:t>
      </w:r>
      <w:r w:rsidRPr="0081697F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designação do CC como plataforma de</w:t>
      </w:r>
      <w:r w:rsidR="003830F4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encaminhamento de casos para</w:t>
      </w:r>
      <w:r w:rsidRPr="0081697F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mediação e arbitragem</w:t>
      </w:r>
      <w:r w:rsidR="003830F4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transfronteiriça</w:t>
      </w:r>
      <w:r w:rsidRPr="0081697F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entre a China e Portugal.</w:t>
      </w:r>
    </w:p>
    <w:p w14:paraId="5FBA6A20" w14:textId="0F265B76" w:rsidR="00856B4E" w:rsidRPr="0081697F" w:rsidRDefault="00856B4E" w:rsidP="00491D13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  <w:r w:rsidRPr="0081697F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Na reunião de trabalho decorrida em Macau estiveram presentes, da parte do CC, a Presidente, Leong Pek San, o Vice-presidente, Ao Weng Tong, a Chefe do Departamento de Protecção dos Direitos e Interesses de Consumo, U Kam e o Chefe da Divisão de Queixa e Fiscalização de Actividades de Consumo, Wong Chi Cheong, e, da parte da DGC, a Directora-Geral, Dra. Carla Barata, e a Directora de Serviços de Comunicação ao Consumidor, Dra. Sónia Passos.</w:t>
      </w:r>
    </w:p>
    <w:p w14:paraId="2F641570" w14:textId="423F8209" w:rsidR="00EA0831" w:rsidRPr="0081697F" w:rsidRDefault="00EA0831" w:rsidP="00491D13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  <w:r w:rsidRPr="0081697F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Na reunião, o CC e a DGC </w:t>
      </w:r>
      <w:r w:rsidR="0081697F" w:rsidRPr="0081697F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revisaram o resultado da cooperação entre as partes nos últimos anos, tendo debatido sobre o desenvolvimento dos seus trabalhos na área de defesa dos direitos de consumo e os temas relacionados com o consumo que actualmente enfrentam. As partes concordaram com o reforço da comunicação e da </w:t>
      </w:r>
      <w:r w:rsidR="00E50E28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com</w:t>
      </w:r>
      <w:r w:rsidR="0081697F" w:rsidRPr="0081697F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partilha</w:t>
      </w:r>
      <w:r w:rsidR="00473B91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</w:t>
      </w:r>
      <w:r w:rsidR="00377DBC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e divulgação </w:t>
      </w:r>
      <w:r w:rsidR="0081697F" w:rsidRPr="0081697F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de informações</w:t>
      </w:r>
      <w:r w:rsidR="00473B91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para aprofundar o conhecimento dos residentes de Macau e de Portugal acerca dos mecanismo</w:t>
      </w:r>
      <w:r w:rsidR="00E50E28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s</w:t>
      </w:r>
      <w:r w:rsidR="00473B91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de defesa do consumidor dos dois locais</w:t>
      </w:r>
      <w:r w:rsidR="0081697F" w:rsidRPr="0081697F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, no sentido de proteger os direitos e interesses dos residentes no âmbito de consumo</w:t>
      </w:r>
      <w:r w:rsidR="00473B91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e aumentar a confiança no consumo interactivo</w:t>
      </w:r>
      <w:r w:rsidR="0081697F" w:rsidRPr="0081697F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.</w:t>
      </w:r>
    </w:p>
    <w:p w14:paraId="1E14EE95" w14:textId="77777777" w:rsidR="00EA0831" w:rsidRPr="0081697F" w:rsidRDefault="00EA0831" w:rsidP="00491D13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</w:p>
    <w:p w14:paraId="2E62EC12" w14:textId="568D4521" w:rsidR="00DA5392" w:rsidRPr="0081697F" w:rsidRDefault="00DA5392" w:rsidP="002A2700">
      <w:pPr>
        <w:spacing w:beforeLines="50" w:before="120" w:afterLines="50" w:after="120" w:line="400" w:lineRule="atLeast"/>
        <w:jc w:val="both"/>
        <w:rPr>
          <w:rFonts w:ascii="Times New Roman" w:hAnsi="Times New Roman" w:cs="Times New Roman"/>
          <w:b/>
          <w:bCs/>
          <w:color w:val="000000" w:themeColor="text1"/>
          <w:spacing w:val="6"/>
          <w:sz w:val="28"/>
          <w:szCs w:val="28"/>
          <w:lang w:val="pt-PT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pacing w:val="6"/>
          <w:sz w:val="28"/>
          <w:szCs w:val="28"/>
          <w:lang w:val="pt-PT"/>
        </w:rPr>
        <w:lastRenderedPageBreak/>
        <w:t>E</w:t>
      </w:r>
      <w:r>
        <w:rPr>
          <w:rFonts w:ascii="Times New Roman" w:hAnsi="Times New Roman" w:cs="Times New Roman"/>
          <w:b/>
          <w:bCs/>
          <w:color w:val="000000" w:themeColor="text1"/>
          <w:spacing w:val="6"/>
          <w:sz w:val="28"/>
          <w:szCs w:val="28"/>
          <w:lang w:val="pt-PT"/>
        </w:rPr>
        <w:t>studada a criação d</w:t>
      </w:r>
      <w:r w:rsidR="002A5C36">
        <w:rPr>
          <w:rFonts w:ascii="Times New Roman" w:hAnsi="Times New Roman" w:cs="Times New Roman"/>
          <w:b/>
          <w:bCs/>
          <w:color w:val="000000" w:themeColor="text1"/>
          <w:spacing w:val="6"/>
          <w:sz w:val="28"/>
          <w:szCs w:val="28"/>
          <w:lang w:val="pt-PT"/>
        </w:rPr>
        <w:t xml:space="preserve">o mecanismo de cooperação sobre </w:t>
      </w:r>
      <w:r>
        <w:rPr>
          <w:rFonts w:ascii="Times New Roman" w:hAnsi="Times New Roman" w:cs="Times New Roman"/>
          <w:b/>
          <w:bCs/>
          <w:color w:val="000000" w:themeColor="text1"/>
          <w:spacing w:val="6"/>
          <w:sz w:val="28"/>
          <w:szCs w:val="28"/>
          <w:lang w:val="pt-PT"/>
        </w:rPr>
        <w:t>os serviços transfronteiriços por videoconferência</w:t>
      </w:r>
    </w:p>
    <w:p w14:paraId="70732C35" w14:textId="3E400345" w:rsidR="00DA5392" w:rsidRDefault="00DA5392" w:rsidP="00DA5392">
      <w:pPr>
        <w:spacing w:beforeLines="50" w:before="120" w:afterLines="50" w:after="120" w:line="4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  <w:bookmarkStart w:id="2" w:name="_Hlk198217626"/>
      <w:r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ab/>
        <w:t xml:space="preserve">No seguimento da dita reunião, sob a coordenação da DGC, o CC, a DGC e o CACCL realizaram uma reunião </w:t>
      </w:r>
      <w:r w:rsidRPr="00DA539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PT"/>
        </w:rPr>
        <w:t>online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, em que debateram sobre</w:t>
      </w:r>
      <w:r w:rsidR="002E4F36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a cooperação na criação do mecanismo de mediação e arbitragem transfronteiriça de conflitos de consumo entre Macau e Portugal e na designação do CC como plataforma de encaminhamento de</w:t>
      </w:r>
      <w:r w:rsidR="002A6D7C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litígios de consumo para mediação e arbitragem entre a China e Portugal, tendo </w:t>
      </w:r>
      <w:r w:rsidR="00926ED0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chegado a um consentimento preliminar sobre esse assunto.</w:t>
      </w:r>
    </w:p>
    <w:p w14:paraId="48D040D6" w14:textId="0130AE51" w:rsidR="00377DBC" w:rsidRPr="00377DBC" w:rsidRDefault="00377DBC" w:rsidP="00374614">
      <w:pPr>
        <w:spacing w:beforeLines="50" w:before="120" w:afterLines="50" w:after="120" w:line="400" w:lineRule="atLeast"/>
        <w:ind w:firstLineChars="200" w:firstLine="584"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pt-PT"/>
        </w:rPr>
      </w:pPr>
      <w:r w:rsidRPr="00377DBC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pt-PT"/>
        </w:rPr>
        <w:t xml:space="preserve">A presidente do CC, Leong Pek San 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pt-PT"/>
        </w:rPr>
        <w:t>esperou que a referida iniciativa de cooperação fosse implementada com sucesso, assinalando que, em articulação com o posicionamento de Macau enquanto Centro Mundial de Turismo e Lazer, o CC tem optimizado e elevado a qualidade dos serviços de mediação e arbitragem transfronteiriça de conflitos de consumo com vista a trazer maior confiança aos turistas para fazer consumo em Macau, na expectativa de aproveitar melhor a função do CC enquanto plataforma de serviços entre as organizações de consumidores da China e de Portugal mediante a cooperação com a DGC.</w:t>
      </w:r>
    </w:p>
    <w:p w14:paraId="3ADFF368" w14:textId="77777777" w:rsidR="00377DBC" w:rsidRPr="00377DBC" w:rsidRDefault="00377DBC" w:rsidP="00374614">
      <w:pPr>
        <w:spacing w:beforeLines="50" w:before="120" w:afterLines="50" w:after="120" w:line="400" w:lineRule="atLeast"/>
        <w:ind w:firstLineChars="200" w:firstLine="584"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pt-PT"/>
        </w:rPr>
      </w:pPr>
    </w:p>
    <w:bookmarkEnd w:id="2"/>
    <w:p w14:paraId="5EF71324" w14:textId="2717ED9C" w:rsidR="003D4DA9" w:rsidRDefault="002A5C36" w:rsidP="002A2700">
      <w:pPr>
        <w:spacing w:beforeLines="50" w:before="120" w:afterLines="50" w:after="120" w:line="400" w:lineRule="atLeast"/>
        <w:jc w:val="both"/>
        <w:rPr>
          <w:rFonts w:ascii="Times New Roman" w:hAnsi="Times New Roman" w:cs="Times New Roman"/>
          <w:b/>
          <w:bCs/>
          <w:color w:val="000000" w:themeColor="text1"/>
          <w:spacing w:val="6"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6"/>
          <w:sz w:val="28"/>
          <w:szCs w:val="28"/>
          <w:lang w:val="pt-PT"/>
        </w:rPr>
        <w:t xml:space="preserve">Melhoria da qualidade dos trabalhos através de aprender com as </w:t>
      </w:r>
      <w:r w:rsidR="00C04012">
        <w:rPr>
          <w:rFonts w:ascii="Times New Roman" w:hAnsi="Times New Roman" w:cs="Times New Roman"/>
          <w:b/>
          <w:bCs/>
          <w:color w:val="000000" w:themeColor="text1"/>
          <w:spacing w:val="6"/>
          <w:sz w:val="28"/>
          <w:szCs w:val="28"/>
          <w:lang w:val="pt-PT"/>
        </w:rPr>
        <w:t>experiências europeias</w:t>
      </w:r>
    </w:p>
    <w:p w14:paraId="13BE6F50" w14:textId="0C1A2056" w:rsidR="00C04012" w:rsidRPr="00C04012" w:rsidRDefault="00C04012" w:rsidP="003D4DA9">
      <w:pPr>
        <w:spacing w:beforeLines="50" w:before="120" w:afterLines="50" w:after="120" w:line="400" w:lineRule="atLeast"/>
        <w:ind w:firstLineChars="200" w:firstLine="584"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pt-PT"/>
        </w:rPr>
      </w:pPr>
      <w:r>
        <w:rPr>
          <w:rFonts w:ascii="Times New Roman" w:hAnsi="Times New Roman" w:cs="Times New Roman" w:hint="eastAsia"/>
          <w:color w:val="000000" w:themeColor="text1"/>
          <w:spacing w:val="6"/>
          <w:sz w:val="28"/>
          <w:szCs w:val="28"/>
          <w:lang w:val="pt-PT"/>
        </w:rPr>
        <w:t>N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pt-PT"/>
        </w:rPr>
        <w:t xml:space="preserve">a sessão de partilha realizada no dia seguinte, a DGC apresentou as suas práticas e experiências nas matérias de educação do consumidor em escolas, fiscalização da publicidade e do sistema de </w:t>
      </w:r>
      <w:r w:rsidRPr="00C0401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pt-PT"/>
        </w:rPr>
        <w:t>resolução alternativa de litígios de consumo em termos genéricos</w:t>
      </w:r>
      <w:r w:rsidR="00F9045A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pt-PT"/>
        </w:rPr>
        <w:t xml:space="preserve">. Os trabalhadores do CC levantaram várias questões, com intuito de aprender as experiências do país europeu na respectiva </w:t>
      </w:r>
      <w:r w:rsidR="009B39AA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pt-PT"/>
        </w:rPr>
        <w:t>área, por forma a melhorar a qualidade dos trabalhos de defesa dos direitos de consumo em Macau.</w:t>
      </w:r>
    </w:p>
    <w:p w14:paraId="0613896C" w14:textId="77777777" w:rsidR="00C04012" w:rsidRPr="0081697F" w:rsidRDefault="00C04012" w:rsidP="003D4DA9">
      <w:pPr>
        <w:spacing w:beforeLines="50" w:before="120" w:afterLines="50" w:after="120" w:line="400" w:lineRule="atLeast"/>
        <w:ind w:firstLineChars="200" w:firstLine="584"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pt-PT"/>
        </w:rPr>
      </w:pPr>
    </w:p>
    <w:p w14:paraId="69D2D5D2" w14:textId="5C034B7E" w:rsidR="00B831D2" w:rsidRDefault="002A5C36" w:rsidP="002A2700">
      <w:pPr>
        <w:spacing w:before="50" w:after="50" w:line="400" w:lineRule="atLeast"/>
        <w:rPr>
          <w:rFonts w:ascii="Times New Roman" w:hAnsi="Times New Roman" w:cs="Times New Roman"/>
          <w:b/>
          <w:bCs/>
          <w:color w:val="000000" w:themeColor="text1"/>
          <w:spacing w:val="6"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6"/>
          <w:sz w:val="28"/>
          <w:szCs w:val="28"/>
          <w:lang w:val="pt-PT"/>
        </w:rPr>
        <w:t xml:space="preserve">Melhor proveito </w:t>
      </w:r>
      <w:r w:rsidR="002D5F53">
        <w:rPr>
          <w:rFonts w:ascii="Times New Roman" w:hAnsi="Times New Roman" w:cs="Times New Roman"/>
          <w:b/>
          <w:bCs/>
          <w:color w:val="000000" w:themeColor="text1"/>
          <w:spacing w:val="6"/>
          <w:sz w:val="28"/>
          <w:szCs w:val="28"/>
          <w:lang w:val="pt-PT"/>
        </w:rPr>
        <w:t xml:space="preserve">do papel de ponte </w:t>
      </w:r>
      <w:r w:rsidR="007620DE">
        <w:rPr>
          <w:rFonts w:ascii="Times New Roman" w:hAnsi="Times New Roman" w:cs="Times New Roman"/>
          <w:b/>
          <w:bCs/>
          <w:color w:val="000000" w:themeColor="text1"/>
          <w:spacing w:val="6"/>
          <w:sz w:val="28"/>
          <w:szCs w:val="28"/>
          <w:lang w:val="pt-PT"/>
        </w:rPr>
        <w:t xml:space="preserve">entre a China e Portugal </w:t>
      </w:r>
      <w:r w:rsidR="002D5F53">
        <w:rPr>
          <w:rFonts w:ascii="Times New Roman" w:hAnsi="Times New Roman" w:cs="Times New Roman"/>
          <w:b/>
          <w:bCs/>
          <w:color w:val="000000" w:themeColor="text1"/>
          <w:spacing w:val="6"/>
          <w:sz w:val="28"/>
          <w:szCs w:val="28"/>
          <w:lang w:val="pt-PT"/>
        </w:rPr>
        <w:t>para a defesa do consumidor</w:t>
      </w:r>
    </w:p>
    <w:p w14:paraId="399C4D0B" w14:textId="0574081A" w:rsidR="002D5F53" w:rsidRDefault="002D5F53" w:rsidP="00491D13">
      <w:pPr>
        <w:spacing w:before="50" w:after="5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 w:hint="eastAsia"/>
          <w:sz w:val="28"/>
          <w:szCs w:val="28"/>
          <w:lang w:val="pt-PT"/>
        </w:rPr>
        <w:t>D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esde a celebração do protocolo de </w:t>
      </w:r>
      <w:r w:rsidR="003830F4">
        <w:rPr>
          <w:rFonts w:ascii="Times New Roman" w:hAnsi="Times New Roman" w:cs="Times New Roman"/>
          <w:sz w:val="28"/>
          <w:szCs w:val="28"/>
          <w:lang w:val="pt-PT"/>
        </w:rPr>
        <w:t>cooperação em 2013, as organizações de consumidores de Macau e de Portugal têm mantido uma cooperação na formação</w:t>
      </w:r>
      <w:r w:rsidR="00942FF7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942FF7">
        <w:rPr>
          <w:rFonts w:ascii="Times New Roman" w:hAnsi="Times New Roman" w:cs="Times New Roman"/>
          <w:sz w:val="28"/>
          <w:szCs w:val="28"/>
          <w:lang w:val="pt-PT"/>
        </w:rPr>
        <w:lastRenderedPageBreak/>
        <w:t>sobre a defesa do consumidor</w:t>
      </w:r>
      <w:r w:rsidR="003830F4">
        <w:rPr>
          <w:rFonts w:ascii="Times New Roman" w:hAnsi="Times New Roman" w:cs="Times New Roman"/>
          <w:sz w:val="28"/>
          <w:szCs w:val="28"/>
          <w:lang w:val="pt-PT"/>
        </w:rPr>
        <w:t>, na troca de informações e no tratamento de litígios de consumo.</w:t>
      </w:r>
    </w:p>
    <w:p w14:paraId="29E7FAE6" w14:textId="2483B8C3" w:rsidR="002D5F53" w:rsidRPr="0081697F" w:rsidRDefault="00942FF7" w:rsidP="00491D13">
      <w:pPr>
        <w:spacing w:before="50" w:after="5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 w:hint="eastAsia"/>
          <w:sz w:val="28"/>
          <w:szCs w:val="28"/>
          <w:lang w:val="pt-PT"/>
        </w:rPr>
        <w:t>O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CC afirmou que este intercâmbio servirá de base consolidada para a futura cooperação transfronteiriça na área de defesa dos direitos de consumo, esperando que, através do aprofundamento da cooperação com a DGC, seja patenteado o papel do CC como ponte entre a China e Portugal no âmbito de defesa dos direitos de consumo, bem como alargado o âmbito da função de plataforma de encaminhamento de queixas entre as organizações chinesas e portuguesas de consumidores, da maneira a fomentar o desenv</w:t>
      </w:r>
      <w:r w:rsidR="00D00EB3">
        <w:rPr>
          <w:rFonts w:ascii="Times New Roman" w:hAnsi="Times New Roman" w:cs="Times New Roman" w:hint="eastAsia"/>
          <w:sz w:val="28"/>
          <w:szCs w:val="28"/>
          <w:lang w:val="pt-PT"/>
        </w:rPr>
        <w:t>o</w:t>
      </w:r>
      <w:r w:rsidR="00D00EB3">
        <w:rPr>
          <w:rFonts w:ascii="Times New Roman" w:hAnsi="Times New Roman" w:cs="Times New Roman"/>
          <w:sz w:val="28"/>
          <w:szCs w:val="28"/>
          <w:lang w:val="pt-PT"/>
        </w:rPr>
        <w:t>lvimento da rede de defesa do consumidor entre a China e Portugal.</w:t>
      </w:r>
    </w:p>
    <w:p w14:paraId="1D6F74D4" w14:textId="29D668B6" w:rsidR="007D405C" w:rsidRPr="0081697F" w:rsidRDefault="007D405C" w:rsidP="00491D13">
      <w:pPr>
        <w:spacing w:before="50" w:after="5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bookmarkEnd w:id="0"/>
    <w:bookmarkEnd w:id="1"/>
    <w:p w14:paraId="68E4D71F" w14:textId="16231C01" w:rsidR="0081697F" w:rsidRPr="0081697F" w:rsidRDefault="0081697F" w:rsidP="0081697F">
      <w:pPr>
        <w:wordWrap w:val="0"/>
        <w:spacing w:beforeLines="50" w:before="120" w:afterLines="50" w:after="120" w:line="40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  <w:r w:rsidRPr="0081697F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Data: 16 de Maio de 2025</w:t>
      </w:r>
    </w:p>
    <w:p w14:paraId="5BF60337" w14:textId="77777777" w:rsidR="0081697F" w:rsidRPr="0081697F" w:rsidRDefault="0081697F" w:rsidP="0081697F">
      <w:pPr>
        <w:spacing w:beforeLines="50" w:before="120" w:afterLines="50" w:after="120" w:line="40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</w:p>
    <w:p w14:paraId="24CE794C" w14:textId="20101634" w:rsidR="00BE0AB7" w:rsidRPr="0081697F" w:rsidRDefault="00BE0AB7" w:rsidP="00BA6609">
      <w:pPr>
        <w:spacing w:beforeLines="50" w:before="120" w:afterLines="50" w:after="120" w:line="40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</w:p>
    <w:sectPr w:rsidR="00BE0AB7" w:rsidRPr="0081697F" w:rsidSect="003D4DA9">
      <w:pgSz w:w="11906" w:h="16838" w:code="9"/>
      <w:pgMar w:top="1440" w:right="1418" w:bottom="144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D5D4" w14:textId="77777777" w:rsidR="00B23F49" w:rsidRDefault="00B23F49" w:rsidP="00687AFE">
      <w:r>
        <w:separator/>
      </w:r>
    </w:p>
  </w:endnote>
  <w:endnote w:type="continuationSeparator" w:id="0">
    <w:p w14:paraId="296335AE" w14:textId="77777777" w:rsidR="00B23F49" w:rsidRDefault="00B23F49" w:rsidP="0068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CD574" w14:textId="77777777" w:rsidR="00B23F49" w:rsidRDefault="00B23F49" w:rsidP="00687AFE">
      <w:r>
        <w:separator/>
      </w:r>
    </w:p>
  </w:footnote>
  <w:footnote w:type="continuationSeparator" w:id="0">
    <w:p w14:paraId="3FF8CD09" w14:textId="77777777" w:rsidR="00B23F49" w:rsidRDefault="00B23F49" w:rsidP="0068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C7C"/>
    <w:multiLevelType w:val="hybridMultilevel"/>
    <w:tmpl w:val="AF9222D0"/>
    <w:lvl w:ilvl="0" w:tplc="85882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32480C"/>
    <w:multiLevelType w:val="hybridMultilevel"/>
    <w:tmpl w:val="D6E0DE3C"/>
    <w:lvl w:ilvl="0" w:tplc="B7E2C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42"/>
    <w:rsid w:val="000005B7"/>
    <w:rsid w:val="00012003"/>
    <w:rsid w:val="000176A1"/>
    <w:rsid w:val="0002707E"/>
    <w:rsid w:val="00043990"/>
    <w:rsid w:val="00060257"/>
    <w:rsid w:val="00060AAD"/>
    <w:rsid w:val="000745F3"/>
    <w:rsid w:val="000E75CF"/>
    <w:rsid w:val="0014306A"/>
    <w:rsid w:val="0014498B"/>
    <w:rsid w:val="00154FA1"/>
    <w:rsid w:val="001558AC"/>
    <w:rsid w:val="00171D8B"/>
    <w:rsid w:val="00184574"/>
    <w:rsid w:val="001F7191"/>
    <w:rsid w:val="0020765C"/>
    <w:rsid w:val="00227A92"/>
    <w:rsid w:val="0026457B"/>
    <w:rsid w:val="002708D0"/>
    <w:rsid w:val="0028171C"/>
    <w:rsid w:val="00286EDD"/>
    <w:rsid w:val="00287C1A"/>
    <w:rsid w:val="00291120"/>
    <w:rsid w:val="00295B8B"/>
    <w:rsid w:val="002A2700"/>
    <w:rsid w:val="002A5C36"/>
    <w:rsid w:val="002A6D7C"/>
    <w:rsid w:val="002C0041"/>
    <w:rsid w:val="002D5F53"/>
    <w:rsid w:val="002D7D44"/>
    <w:rsid w:val="002E4F36"/>
    <w:rsid w:val="002E7136"/>
    <w:rsid w:val="002F3030"/>
    <w:rsid w:val="00300AF6"/>
    <w:rsid w:val="0032575B"/>
    <w:rsid w:val="00347BC4"/>
    <w:rsid w:val="00350427"/>
    <w:rsid w:val="00357829"/>
    <w:rsid w:val="00374614"/>
    <w:rsid w:val="00377DBC"/>
    <w:rsid w:val="003828CD"/>
    <w:rsid w:val="003830F4"/>
    <w:rsid w:val="003B5B4F"/>
    <w:rsid w:val="003C359B"/>
    <w:rsid w:val="003D4DA9"/>
    <w:rsid w:val="003F6854"/>
    <w:rsid w:val="00425943"/>
    <w:rsid w:val="0047221E"/>
    <w:rsid w:val="00473B91"/>
    <w:rsid w:val="00491D13"/>
    <w:rsid w:val="004A4376"/>
    <w:rsid w:val="004F412F"/>
    <w:rsid w:val="004F7DD9"/>
    <w:rsid w:val="00526029"/>
    <w:rsid w:val="00540A85"/>
    <w:rsid w:val="00570336"/>
    <w:rsid w:val="00573D61"/>
    <w:rsid w:val="00575902"/>
    <w:rsid w:val="00576BF1"/>
    <w:rsid w:val="00587F66"/>
    <w:rsid w:val="005A45FE"/>
    <w:rsid w:val="005D55BC"/>
    <w:rsid w:val="005D6CF2"/>
    <w:rsid w:val="005F6B0F"/>
    <w:rsid w:val="00687AFE"/>
    <w:rsid w:val="006A0CD5"/>
    <w:rsid w:val="006E4511"/>
    <w:rsid w:val="006E5ACD"/>
    <w:rsid w:val="006F2A70"/>
    <w:rsid w:val="00726194"/>
    <w:rsid w:val="007410E1"/>
    <w:rsid w:val="007620DE"/>
    <w:rsid w:val="007A5394"/>
    <w:rsid w:val="007C1DCA"/>
    <w:rsid w:val="007D0200"/>
    <w:rsid w:val="007D1C9C"/>
    <w:rsid w:val="007D405C"/>
    <w:rsid w:val="007E2B5A"/>
    <w:rsid w:val="007E4C6B"/>
    <w:rsid w:val="00800330"/>
    <w:rsid w:val="0081697F"/>
    <w:rsid w:val="00821375"/>
    <w:rsid w:val="00826FEA"/>
    <w:rsid w:val="0084512F"/>
    <w:rsid w:val="00855D6A"/>
    <w:rsid w:val="00856A39"/>
    <w:rsid w:val="00856B4E"/>
    <w:rsid w:val="00863262"/>
    <w:rsid w:val="008A35C3"/>
    <w:rsid w:val="008B1328"/>
    <w:rsid w:val="008B2F76"/>
    <w:rsid w:val="008D5F42"/>
    <w:rsid w:val="008E4FA3"/>
    <w:rsid w:val="00926ED0"/>
    <w:rsid w:val="0093602D"/>
    <w:rsid w:val="00942FF7"/>
    <w:rsid w:val="00943813"/>
    <w:rsid w:val="00946FEB"/>
    <w:rsid w:val="009B39AA"/>
    <w:rsid w:val="009B3B0A"/>
    <w:rsid w:val="009B7A8C"/>
    <w:rsid w:val="009D5834"/>
    <w:rsid w:val="00A009F9"/>
    <w:rsid w:val="00A01289"/>
    <w:rsid w:val="00A02138"/>
    <w:rsid w:val="00A12180"/>
    <w:rsid w:val="00A953CB"/>
    <w:rsid w:val="00AA0C87"/>
    <w:rsid w:val="00AA291D"/>
    <w:rsid w:val="00AD21EB"/>
    <w:rsid w:val="00AF10A7"/>
    <w:rsid w:val="00AF40C9"/>
    <w:rsid w:val="00B05052"/>
    <w:rsid w:val="00B23F49"/>
    <w:rsid w:val="00B33B4A"/>
    <w:rsid w:val="00B41C3B"/>
    <w:rsid w:val="00B6422A"/>
    <w:rsid w:val="00B831D2"/>
    <w:rsid w:val="00B95AB5"/>
    <w:rsid w:val="00BA6609"/>
    <w:rsid w:val="00BD0468"/>
    <w:rsid w:val="00BD71B6"/>
    <w:rsid w:val="00BE0AB7"/>
    <w:rsid w:val="00BE4C9F"/>
    <w:rsid w:val="00C04012"/>
    <w:rsid w:val="00C209CD"/>
    <w:rsid w:val="00C2324F"/>
    <w:rsid w:val="00C3675B"/>
    <w:rsid w:val="00C7434C"/>
    <w:rsid w:val="00CA1509"/>
    <w:rsid w:val="00CE70A9"/>
    <w:rsid w:val="00D00EB3"/>
    <w:rsid w:val="00D04374"/>
    <w:rsid w:val="00D345CC"/>
    <w:rsid w:val="00D87CD1"/>
    <w:rsid w:val="00DA1E50"/>
    <w:rsid w:val="00DA2090"/>
    <w:rsid w:val="00DA5392"/>
    <w:rsid w:val="00DD2426"/>
    <w:rsid w:val="00DE38BA"/>
    <w:rsid w:val="00DF2504"/>
    <w:rsid w:val="00E2177E"/>
    <w:rsid w:val="00E50E28"/>
    <w:rsid w:val="00E9379F"/>
    <w:rsid w:val="00EA0831"/>
    <w:rsid w:val="00EA67DB"/>
    <w:rsid w:val="00F4463F"/>
    <w:rsid w:val="00F60D1F"/>
    <w:rsid w:val="00F765D2"/>
    <w:rsid w:val="00F9045A"/>
    <w:rsid w:val="00FD4435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E49B0F"/>
  <w15:chartTrackingRefBased/>
  <w15:docId w15:val="{E430E3B3-3709-4DF7-B19C-B12B3E7A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A0CD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A0CD5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687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7A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7AFE"/>
    <w:rPr>
      <w:sz w:val="20"/>
      <w:szCs w:val="20"/>
    </w:rPr>
  </w:style>
  <w:style w:type="paragraph" w:styleId="a7">
    <w:name w:val="List Paragraph"/>
    <w:basedOn w:val="a"/>
    <w:uiPriority w:val="34"/>
    <w:qFormat/>
    <w:rsid w:val="00BE0A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844CE-484D-40AB-8ABE-9B6951AF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Un Ut Mui</cp:lastModifiedBy>
  <cp:revision>4</cp:revision>
  <cp:lastPrinted>2025-05-15T08:23:00Z</cp:lastPrinted>
  <dcterms:created xsi:type="dcterms:W3CDTF">2025-05-16T08:48:00Z</dcterms:created>
  <dcterms:modified xsi:type="dcterms:W3CDTF">2025-05-16T09:24:00Z</dcterms:modified>
</cp:coreProperties>
</file>