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B664" w14:textId="77777777" w:rsidR="00B8145A" w:rsidRPr="002F4847" w:rsidRDefault="00B8145A" w:rsidP="00B8145A">
      <w:pPr>
        <w:spacing w:beforeLines="100" w:before="240" w:afterLines="100" w:after="240" w:line="400" w:lineRule="atLeast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2F4847">
        <w:rPr>
          <w:rFonts w:ascii="Times New Roman" w:hAnsi="Times New Roman" w:cs="Times New Roman"/>
          <w:b/>
          <w:bCs/>
          <w:sz w:val="28"/>
          <w:szCs w:val="28"/>
          <w:lang w:val="pt-PT"/>
        </w:rPr>
        <w:t>Informação do Conselho de Consumidores:</w:t>
      </w:r>
    </w:p>
    <w:p w14:paraId="5AC327A4" w14:textId="77777777" w:rsidR="00B8145A" w:rsidRPr="00B8145A" w:rsidRDefault="00B8145A" w:rsidP="008E7752">
      <w:pPr>
        <w:spacing w:beforeLines="100" w:before="240" w:afterLines="100" w:after="240" w:line="400" w:lineRule="atLeast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p w14:paraId="56BC68C1" w14:textId="23F03F71" w:rsidR="00B8145A" w:rsidRPr="002F4847" w:rsidRDefault="003675AE" w:rsidP="00B8145A">
      <w:pPr>
        <w:spacing w:beforeLines="50" w:before="120" w:afterLines="50" w:after="120" w:line="400" w:lineRule="atLeast"/>
        <w:ind w:firstLineChars="200" w:firstLine="641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t-PT"/>
        </w:rPr>
        <w:t>Os c</w:t>
      </w:r>
      <w:r w:rsidR="00B8145A" w:rsidRPr="002F4847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onselhos de </w:t>
      </w:r>
      <w:r>
        <w:rPr>
          <w:rFonts w:ascii="Times New Roman" w:hAnsi="Times New Roman" w:cs="Times New Roman"/>
          <w:b/>
          <w:bCs/>
          <w:sz w:val="32"/>
          <w:szCs w:val="32"/>
          <w:lang w:val="pt-PT"/>
        </w:rPr>
        <w:t>c</w:t>
      </w:r>
      <w:r w:rsidR="00B8145A" w:rsidRPr="002F4847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onsumidores de Guangdong, Hong Kong e Macau divulgam juntamente </w:t>
      </w:r>
      <w:r w:rsidR="00B8145A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pela primeira vez </w:t>
      </w:r>
      <w:r w:rsidR="00B8145A" w:rsidRPr="002F4847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as dicas de consumo sobre a compra </w:t>
      </w:r>
      <w:r w:rsidR="00B8145A" w:rsidRPr="000D1249">
        <w:rPr>
          <w:rFonts w:ascii="Times New Roman" w:hAnsi="Times New Roman" w:cs="Times New Roman"/>
          <w:b/>
          <w:bCs/>
          <w:i/>
          <w:iCs/>
          <w:sz w:val="32"/>
          <w:szCs w:val="32"/>
          <w:lang w:val="pt-PT"/>
        </w:rPr>
        <w:t>online</w:t>
      </w:r>
      <w:r w:rsidR="00B8145A" w:rsidRPr="002F4847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 de produtos do Interior da China pelos residentes de Hong Kong e Macau</w:t>
      </w:r>
    </w:p>
    <w:p w14:paraId="786B2E85" w14:textId="77777777" w:rsidR="00B8145A" w:rsidRPr="00B8145A" w:rsidRDefault="00B8145A" w:rsidP="00E30882">
      <w:pPr>
        <w:spacing w:beforeLines="50" w:before="120" w:afterLines="50" w:after="120" w:line="400" w:lineRule="atLeast"/>
        <w:ind w:firstLineChars="200" w:firstLine="641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</w:p>
    <w:p w14:paraId="33D81A41" w14:textId="4CB80B39" w:rsidR="000350E2" w:rsidRPr="00C7374F" w:rsidRDefault="000350E2" w:rsidP="000350E2">
      <w:pPr>
        <w:spacing w:beforeLines="50" w:before="120" w:afterLines="50" w:after="120" w:line="40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  <w:lang w:val="pt-PT"/>
        </w:rPr>
      </w:pPr>
      <w:r w:rsidRPr="002F4847">
        <w:rPr>
          <w:rFonts w:ascii="Times New Roman" w:hAnsi="Times New Roman" w:cs="Times New Roman"/>
          <w:sz w:val="28"/>
          <w:szCs w:val="28"/>
          <w:lang w:val="pt-PT"/>
        </w:rPr>
        <w:t xml:space="preserve">À medida do desenvolvimento integrado da Grande Baía Guangdong-Hong Kong-Macau, cada vez mais residentes de Hong Kong e de Macau compram produtos do Interior da China por via </w:t>
      </w:r>
      <w:r w:rsidRPr="002F4847">
        <w:rPr>
          <w:rFonts w:ascii="Times New Roman" w:hAnsi="Times New Roman" w:cs="Times New Roman"/>
          <w:i/>
          <w:iCs/>
          <w:sz w:val="28"/>
          <w:szCs w:val="28"/>
          <w:lang w:val="pt-PT"/>
        </w:rPr>
        <w:t>online</w:t>
      </w:r>
      <w:r w:rsidRPr="002F4847">
        <w:rPr>
          <w:rFonts w:ascii="Times New Roman" w:hAnsi="Times New Roman" w:cs="Times New Roman"/>
          <w:sz w:val="28"/>
          <w:szCs w:val="28"/>
          <w:lang w:val="pt-PT"/>
        </w:rPr>
        <w:t xml:space="preserve">, no entanto, devido a vários factores como as políticas e as legislações, os custos de logística, as características dos produtos e as estratégias comerciais, alguns produtos do Interior da China só </w:t>
      </w:r>
      <w:r>
        <w:rPr>
          <w:rFonts w:ascii="Times New Roman" w:hAnsi="Times New Roman" w:cs="Times New Roman"/>
          <w:sz w:val="28"/>
          <w:szCs w:val="28"/>
          <w:lang w:val="pt-PT"/>
        </w:rPr>
        <w:t>são comercializados</w:t>
      </w:r>
      <w:r w:rsidRPr="002F484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n</w:t>
      </w:r>
      <w:r w:rsidRPr="002F4847">
        <w:rPr>
          <w:rFonts w:ascii="Times New Roman" w:hAnsi="Times New Roman" w:cs="Times New Roman"/>
          <w:sz w:val="28"/>
          <w:szCs w:val="28"/>
          <w:lang w:val="pt-PT"/>
        </w:rPr>
        <w:t>o Interior da China.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Assim sendo, </w:t>
      </w:r>
      <w:r w:rsidRPr="00D4110F">
        <w:rPr>
          <w:rFonts w:ascii="Times New Roman" w:hAnsi="Times New Roman" w:cs="Times New Roman"/>
          <w:sz w:val="28"/>
          <w:szCs w:val="28"/>
          <w:lang w:val="pt-PT"/>
        </w:rPr>
        <w:t>alguns consumidores de Hong Kong e de Macau optam por comprá-lo com recurso ao serviço de transporte dos pontos de recepção de encomendas do Interior da China ou através do levantamento de encomendas nestes pontos.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2F4847">
        <w:rPr>
          <w:rFonts w:ascii="Times New Roman" w:hAnsi="Times New Roman" w:cs="Times New Roman"/>
          <w:sz w:val="28"/>
          <w:szCs w:val="28"/>
          <w:lang w:val="pt-PT"/>
        </w:rPr>
        <w:t xml:space="preserve">Conduto, o prolongamento das etapas de compra e da cadeia de transporte faz aumentar os riscos de consumo. Recentemente, muitos consumidores de Hong Kong e de Macau encontraram dificuldades em defender os seus direitos, quando se envolveram em litígios de consumo relativos à devolução e substituição dos bens adquiridos que </w:t>
      </w:r>
      <w:r>
        <w:rPr>
          <w:rFonts w:ascii="Times New Roman" w:hAnsi="Times New Roman" w:cs="Times New Roman"/>
          <w:sz w:val="28"/>
          <w:szCs w:val="28"/>
          <w:lang w:val="pt-PT"/>
        </w:rPr>
        <w:t>a</w:t>
      </w:r>
      <w:r w:rsidRPr="002F4847">
        <w:rPr>
          <w:rFonts w:ascii="Times New Roman" w:hAnsi="Times New Roman" w:cs="Times New Roman"/>
          <w:sz w:val="28"/>
          <w:szCs w:val="28"/>
          <w:lang w:val="pt-PT"/>
        </w:rPr>
        <w:t xml:space="preserve">penas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se </w:t>
      </w:r>
      <w:r w:rsidRPr="002F4847">
        <w:rPr>
          <w:rFonts w:ascii="Times New Roman" w:hAnsi="Times New Roman" w:cs="Times New Roman"/>
          <w:sz w:val="28"/>
          <w:szCs w:val="28"/>
          <w:lang w:val="pt-PT"/>
        </w:rPr>
        <w:t>comercializa</w:t>
      </w:r>
      <w:r>
        <w:rPr>
          <w:rFonts w:ascii="Times New Roman" w:hAnsi="Times New Roman" w:cs="Times New Roman"/>
          <w:sz w:val="28"/>
          <w:szCs w:val="28"/>
          <w:lang w:val="pt-PT"/>
        </w:rPr>
        <w:t>m</w:t>
      </w:r>
      <w:r w:rsidRPr="002F484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n</w:t>
      </w:r>
      <w:r w:rsidRPr="002F4847">
        <w:rPr>
          <w:rFonts w:ascii="Times New Roman" w:hAnsi="Times New Roman" w:cs="Times New Roman"/>
          <w:sz w:val="28"/>
          <w:szCs w:val="28"/>
          <w:lang w:val="pt-PT"/>
        </w:rPr>
        <w:t xml:space="preserve">o Interior da China. No sentido de aprofundar o conhecimento jurídico dos consumidores de Hong Kong e de Macau e aumentar a sua consciência pela defesa de direitos para comprar produtos do Interior da China por via </w:t>
      </w:r>
      <w:r w:rsidRPr="000350E2">
        <w:rPr>
          <w:rFonts w:ascii="Times New Roman" w:hAnsi="Times New Roman" w:cs="Times New Roman"/>
          <w:i/>
          <w:iCs/>
          <w:sz w:val="28"/>
          <w:szCs w:val="28"/>
          <w:lang w:val="pt-PT"/>
        </w:rPr>
        <w:t>onlin</w:t>
      </w:r>
      <w:r w:rsidRPr="002F4847">
        <w:rPr>
          <w:rFonts w:ascii="Times New Roman" w:hAnsi="Times New Roman" w:cs="Times New Roman"/>
          <w:sz w:val="28"/>
          <w:szCs w:val="28"/>
          <w:lang w:val="pt-PT"/>
        </w:rPr>
        <w:t>e com maior confiança garantida, o Conselho de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0350E2">
        <w:rPr>
          <w:rFonts w:ascii="Times New Roman" w:hAnsi="Times New Roman" w:cs="Times New Roman"/>
          <w:sz w:val="28"/>
          <w:szCs w:val="28"/>
          <w:lang w:val="pt-PT"/>
        </w:rPr>
        <w:t>Consumidores do Governo da Região Administrativa Especial de Macau, juntamente com o Conselho de Consumidores da Província de Guangdong e o Conselho de Consumidores de Hong Kong, emitiu as seguintes dicas de consumo:</w:t>
      </w:r>
    </w:p>
    <w:p w14:paraId="53AA6B35" w14:textId="77777777" w:rsidR="00B8145A" w:rsidRPr="00B8145A" w:rsidRDefault="00B8145A" w:rsidP="00E30882">
      <w:pPr>
        <w:spacing w:beforeLines="50" w:before="120" w:afterLines="50" w:after="120" w:line="400" w:lineRule="atLeast"/>
        <w:ind w:firstLineChars="200" w:firstLine="560"/>
        <w:rPr>
          <w:rFonts w:asciiTheme="minorEastAsia" w:hAnsiTheme="minorEastAsia" w:cs="Times New Roman"/>
          <w:sz w:val="28"/>
          <w:szCs w:val="28"/>
          <w:lang w:val="pt-PT"/>
        </w:rPr>
      </w:pPr>
    </w:p>
    <w:p w14:paraId="3629A687" w14:textId="26ED0599" w:rsidR="000350E2" w:rsidRPr="002F4847" w:rsidRDefault="000350E2" w:rsidP="000D1249">
      <w:pPr>
        <w:widowControl/>
        <w:spacing w:beforeLines="50" w:before="120" w:afterLines="50" w:after="120" w:line="400" w:lineRule="atLeast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2F4847">
        <w:rPr>
          <w:rFonts w:ascii="Times New Roman" w:hAnsi="Times New Roman" w:cs="Times New Roman"/>
          <w:b/>
          <w:sz w:val="28"/>
          <w:szCs w:val="28"/>
          <w:lang w:val="pt-PT"/>
        </w:rPr>
        <w:t xml:space="preserve">1. </w:t>
      </w:r>
      <w:r w:rsidR="008527A7">
        <w:rPr>
          <w:rFonts w:ascii="Times New Roman" w:hAnsi="Times New Roman" w:cs="Times New Roman"/>
          <w:b/>
          <w:sz w:val="28"/>
          <w:szCs w:val="28"/>
          <w:lang w:val="pt-PT"/>
        </w:rPr>
        <w:t>Devido à</w:t>
      </w:r>
      <w:r w:rsidRPr="002F4847">
        <w:rPr>
          <w:rFonts w:ascii="Times New Roman" w:hAnsi="Times New Roman" w:cs="Times New Roman"/>
          <w:b/>
          <w:sz w:val="28"/>
          <w:szCs w:val="28"/>
          <w:lang w:val="pt-PT"/>
        </w:rPr>
        <w:t xml:space="preserve">s </w:t>
      </w:r>
      <w:r w:rsidR="003D336C">
        <w:rPr>
          <w:rFonts w:ascii="Times New Roman" w:hAnsi="Times New Roman" w:cs="Times New Roman" w:hint="eastAsia"/>
          <w:b/>
          <w:sz w:val="28"/>
          <w:szCs w:val="28"/>
          <w:lang w:val="pt-PT"/>
        </w:rPr>
        <w:t>d</w:t>
      </w:r>
      <w:r w:rsidR="003D336C">
        <w:rPr>
          <w:rFonts w:ascii="Times New Roman" w:hAnsi="Times New Roman" w:cs="Times New Roman"/>
          <w:b/>
          <w:sz w:val="28"/>
          <w:szCs w:val="28"/>
          <w:lang w:val="pt-PT"/>
        </w:rPr>
        <w:t xml:space="preserve">ivergências </w:t>
      </w:r>
      <w:r w:rsidR="008527A7">
        <w:rPr>
          <w:rFonts w:ascii="Times New Roman" w:hAnsi="Times New Roman" w:cs="Times New Roman"/>
          <w:b/>
          <w:sz w:val="28"/>
          <w:szCs w:val="28"/>
          <w:lang w:val="pt-PT"/>
        </w:rPr>
        <w:t xml:space="preserve">entre </w:t>
      </w:r>
      <w:r w:rsidRPr="002F4847">
        <w:rPr>
          <w:rFonts w:ascii="Times New Roman" w:hAnsi="Times New Roman" w:cs="Times New Roman"/>
          <w:b/>
          <w:sz w:val="28"/>
          <w:szCs w:val="28"/>
          <w:lang w:val="pt-PT"/>
        </w:rPr>
        <w:t>legislações e normas</w:t>
      </w:r>
      <w:r w:rsidR="008527A7">
        <w:rPr>
          <w:rFonts w:ascii="Times New Roman" w:hAnsi="Times New Roman" w:cs="Times New Roman"/>
          <w:b/>
          <w:sz w:val="28"/>
          <w:szCs w:val="28"/>
          <w:lang w:val="pt-PT"/>
        </w:rPr>
        <w:t>,</w:t>
      </w:r>
      <w:r w:rsidRPr="002F4847">
        <w:rPr>
          <w:rFonts w:ascii="Times New Roman" w:hAnsi="Times New Roman" w:cs="Times New Roman"/>
          <w:b/>
          <w:sz w:val="28"/>
          <w:szCs w:val="28"/>
          <w:lang w:val="pt-PT"/>
        </w:rPr>
        <w:t xml:space="preserve"> é preciso ter cuidados na verificação das informações do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s</w:t>
      </w:r>
      <w:r w:rsidRPr="002F4847">
        <w:rPr>
          <w:rFonts w:ascii="Times New Roman" w:hAnsi="Times New Roman" w:cs="Times New Roman"/>
          <w:b/>
          <w:sz w:val="28"/>
          <w:szCs w:val="28"/>
          <w:lang w:val="pt-PT"/>
        </w:rPr>
        <w:t xml:space="preserve"> produto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s</w:t>
      </w:r>
    </w:p>
    <w:p w14:paraId="5060BBD1" w14:textId="0D2B6786" w:rsidR="000350E2" w:rsidRPr="000350E2" w:rsidRDefault="000350E2" w:rsidP="000350E2">
      <w:pPr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0350E2">
        <w:rPr>
          <w:rFonts w:ascii="Times New Roman" w:hAnsi="Times New Roman" w:cs="Times New Roman"/>
          <w:sz w:val="28"/>
          <w:szCs w:val="28"/>
          <w:lang w:val="pt-PT"/>
        </w:rPr>
        <w:t xml:space="preserve">Actualmente, por falta da uniformização das normas de produtos entre Hong Kong, Macau e Interior da China, podem existir divergências em termos de marcação da etiqueta e dos requisitos e indicadores de qualidade. Como os produtos </w:t>
      </w:r>
      <w:r>
        <w:rPr>
          <w:rFonts w:ascii="Times New Roman" w:hAnsi="Times New Roman" w:cs="Times New Roman"/>
          <w:sz w:val="28"/>
          <w:szCs w:val="28"/>
          <w:lang w:val="pt-PT"/>
        </w:rPr>
        <w:t>comercializa</w:t>
      </w:r>
      <w:r w:rsidRPr="000350E2">
        <w:rPr>
          <w:rFonts w:ascii="Times New Roman" w:hAnsi="Times New Roman" w:cs="Times New Roman"/>
          <w:sz w:val="28"/>
          <w:szCs w:val="28"/>
          <w:lang w:val="pt-PT"/>
        </w:rPr>
        <w:t xml:space="preserve">dos apenas </w:t>
      </w:r>
      <w:r>
        <w:rPr>
          <w:rFonts w:ascii="Times New Roman" w:hAnsi="Times New Roman" w:cs="Times New Roman"/>
          <w:sz w:val="28"/>
          <w:szCs w:val="28"/>
          <w:lang w:val="pt-PT"/>
        </w:rPr>
        <w:t>n</w:t>
      </w:r>
      <w:r w:rsidRPr="000350E2">
        <w:rPr>
          <w:rFonts w:ascii="Times New Roman" w:hAnsi="Times New Roman" w:cs="Times New Roman"/>
          <w:sz w:val="28"/>
          <w:szCs w:val="28"/>
          <w:lang w:val="pt-PT"/>
        </w:rPr>
        <w:t xml:space="preserve">o Interior da China só têm de cumprir as legislações e os padrões do Interior da China, se os consumidores de Hong Kong e de Macau tiverem certos requisitos de </w:t>
      </w:r>
      <w:r w:rsidRPr="000350E2">
        <w:rPr>
          <w:rFonts w:ascii="Times New Roman" w:hAnsi="Times New Roman" w:cs="Times New Roman"/>
          <w:sz w:val="28"/>
          <w:szCs w:val="28"/>
          <w:lang w:val="pt-PT"/>
        </w:rPr>
        <w:lastRenderedPageBreak/>
        <w:t>qualidade, devem verificar bem as informações pormenorizadas e as descrições das funções dos produtos antes da aquisição, e, em caso necessário, consultar as normas de qualidade a</w:t>
      </w:r>
      <w:r w:rsidR="00A44315">
        <w:rPr>
          <w:rFonts w:ascii="Times New Roman" w:hAnsi="Times New Roman" w:cs="Times New Roman"/>
          <w:sz w:val="28"/>
          <w:szCs w:val="28"/>
          <w:lang w:val="pt-PT"/>
        </w:rPr>
        <w:t>plicáveis</w:t>
      </w:r>
      <w:r w:rsidRPr="000350E2">
        <w:rPr>
          <w:rFonts w:ascii="Times New Roman" w:hAnsi="Times New Roman" w:cs="Times New Roman"/>
          <w:sz w:val="28"/>
          <w:szCs w:val="28"/>
          <w:lang w:val="pt-PT"/>
        </w:rPr>
        <w:t xml:space="preserve"> a esses produtos para confirmar se correspondem às próprias necessidades, de modo a evitar litígios de consumo após a recepção dos produtos.</w:t>
      </w:r>
    </w:p>
    <w:p w14:paraId="468B45FE" w14:textId="77777777" w:rsidR="000350E2" w:rsidRPr="000350E2" w:rsidRDefault="000350E2" w:rsidP="00E30882">
      <w:pPr>
        <w:spacing w:beforeLines="50" w:before="120" w:afterLines="50" w:after="120" w:line="400" w:lineRule="atLeast"/>
        <w:ind w:firstLineChars="200" w:firstLine="560"/>
        <w:rPr>
          <w:rFonts w:asciiTheme="minorEastAsia" w:hAnsiTheme="minorEastAsia" w:cs="FangSong_GB2312"/>
          <w:sz w:val="28"/>
          <w:szCs w:val="28"/>
          <w:lang w:val="pt-PT"/>
        </w:rPr>
      </w:pPr>
    </w:p>
    <w:p w14:paraId="2C6885A2" w14:textId="0F880EAC" w:rsidR="00777DFA" w:rsidRPr="002F4847" w:rsidRDefault="00777DFA" w:rsidP="000D1249">
      <w:pPr>
        <w:widowControl/>
        <w:spacing w:beforeLines="50" w:before="120" w:afterLines="50" w:after="120" w:line="400" w:lineRule="atLeast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pt-PT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. </w:t>
      </w:r>
      <w:r w:rsidR="003137F4">
        <w:rPr>
          <w:rFonts w:ascii="Times New Roman" w:hAnsi="Times New Roman" w:cs="Times New Roman"/>
          <w:b/>
          <w:sz w:val="28"/>
          <w:szCs w:val="28"/>
          <w:lang w:val="pt-PT"/>
        </w:rPr>
        <w:t>Perante a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s etapas de transporte</w:t>
      </w:r>
      <w:r w:rsidR="003137F4">
        <w:rPr>
          <w:rFonts w:ascii="Times New Roman" w:hAnsi="Times New Roman" w:cs="Times New Roman"/>
          <w:b/>
          <w:sz w:val="28"/>
          <w:szCs w:val="28"/>
          <w:lang w:val="pt-PT"/>
        </w:rPr>
        <w:t xml:space="preserve"> mais complicadas,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 é importante inspeccionar o estado dos produtos</w:t>
      </w:r>
    </w:p>
    <w:p w14:paraId="6A257554" w14:textId="27010129" w:rsidR="00777DFA" w:rsidRDefault="00777DFA" w:rsidP="00777DFA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Uma compra </w:t>
      </w:r>
      <w:r w:rsidRPr="003F1B22">
        <w:rPr>
          <w:rFonts w:ascii="Times New Roman" w:hAnsi="Times New Roman" w:cs="Times New Roman"/>
          <w:i/>
          <w:iCs/>
          <w:sz w:val="28"/>
          <w:szCs w:val="28"/>
          <w:lang w:val="pt-PT"/>
        </w:rPr>
        <w:t>online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transfronteiriça percorre várias etapas, a saber:</w:t>
      </w:r>
      <w:r w:rsidRPr="00777DFA">
        <w:rPr>
          <w:rFonts w:ascii="Times New Roman" w:hAnsi="Times New Roman" w:cs="Times New Roman"/>
          <w:sz w:val="28"/>
          <w:szCs w:val="28"/>
          <w:lang w:val="pt-PT"/>
        </w:rPr>
        <w:t xml:space="preserve"> envio da encomenda pelo vendedor, </w:t>
      </w:r>
      <w:r>
        <w:rPr>
          <w:rFonts w:ascii="Times New Roman" w:hAnsi="Times New Roman" w:cs="Times New Roman"/>
          <w:sz w:val="28"/>
          <w:szCs w:val="28"/>
          <w:lang w:val="pt-PT"/>
        </w:rPr>
        <w:t>logística no Interior da China, armazenamento temporário no ponto de recepção de encomendas, transporte transfronteiriç</w:t>
      </w:r>
      <w:r w:rsidR="001E6E33">
        <w:rPr>
          <w:rFonts w:ascii="Times New Roman" w:hAnsi="Times New Roman" w:cs="Times New Roman"/>
          <w:sz w:val="28"/>
          <w:szCs w:val="28"/>
          <w:lang w:val="pt-PT"/>
        </w:rPr>
        <w:t>o</w:t>
      </w:r>
      <w:r>
        <w:rPr>
          <w:rFonts w:ascii="Times New Roman" w:hAnsi="Times New Roman" w:cs="Times New Roman"/>
          <w:sz w:val="28"/>
          <w:szCs w:val="28"/>
          <w:lang w:val="pt-PT"/>
        </w:rPr>
        <w:t>, entrega ao domicílio ou levantamento de encomendas no local. Geralmente, os pontos de recepção de encomendas só inspeccionam a integridade da embalagem das encomendas recebidas</w:t>
      </w:r>
      <w:r w:rsidR="003137F4">
        <w:rPr>
          <w:rFonts w:ascii="Times New Roman" w:hAnsi="Times New Roman" w:cs="Times New Roman"/>
          <w:sz w:val="28"/>
          <w:szCs w:val="28"/>
          <w:lang w:val="pt-PT"/>
        </w:rPr>
        <w:t>,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não as abrindo para efeitos de examinação. Caso no momento de recepção os consumidores </w:t>
      </w:r>
      <w:r w:rsidR="003137F4">
        <w:rPr>
          <w:rFonts w:ascii="Times New Roman" w:hAnsi="Times New Roman" w:cs="Times New Roman"/>
          <w:sz w:val="28"/>
          <w:szCs w:val="28"/>
          <w:lang w:val="pt-PT"/>
        </w:rPr>
        <w:t xml:space="preserve">verificarem </w:t>
      </w:r>
      <w:r>
        <w:rPr>
          <w:rFonts w:ascii="Times New Roman" w:hAnsi="Times New Roman" w:cs="Times New Roman"/>
          <w:sz w:val="28"/>
          <w:szCs w:val="28"/>
          <w:lang w:val="pt-PT"/>
        </w:rPr>
        <w:t>problemas com o produto, como danos, será difícil determinar a parte culp</w:t>
      </w:r>
      <w:r w:rsidR="003137F4">
        <w:rPr>
          <w:rFonts w:ascii="Times New Roman" w:hAnsi="Times New Roman" w:cs="Times New Roman"/>
          <w:sz w:val="28"/>
          <w:szCs w:val="28"/>
          <w:lang w:val="pt-PT"/>
        </w:rPr>
        <w:t>osa,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89628F" w:rsidRPr="0089628F">
        <w:rPr>
          <w:rFonts w:ascii="Times New Roman" w:hAnsi="Times New Roman" w:cs="Times New Roman"/>
          <w:sz w:val="28"/>
          <w:szCs w:val="28"/>
          <w:lang w:val="pt-PT"/>
        </w:rPr>
        <w:t xml:space="preserve">levando à </w:t>
      </w:r>
      <w:r w:rsidR="00010283">
        <w:rPr>
          <w:rFonts w:ascii="Times New Roman" w:hAnsi="Times New Roman" w:cs="Times New Roman"/>
          <w:sz w:val="28"/>
          <w:szCs w:val="28"/>
          <w:lang w:val="pt-PT"/>
        </w:rPr>
        <w:t xml:space="preserve">eventual </w:t>
      </w:r>
      <w:r w:rsidR="003137F4">
        <w:rPr>
          <w:rFonts w:ascii="Times New Roman" w:hAnsi="Times New Roman" w:cs="Times New Roman"/>
          <w:sz w:val="28"/>
          <w:szCs w:val="28"/>
          <w:lang w:val="pt-PT"/>
        </w:rPr>
        <w:t>imputa</w:t>
      </w:r>
      <w:r w:rsidR="00010283">
        <w:rPr>
          <w:rFonts w:ascii="Times New Roman" w:hAnsi="Times New Roman" w:cs="Times New Roman"/>
          <w:sz w:val="28"/>
          <w:szCs w:val="28"/>
          <w:lang w:val="pt-PT"/>
        </w:rPr>
        <w:t>ção d</w:t>
      </w:r>
      <w:r w:rsidR="003137F4">
        <w:rPr>
          <w:rFonts w:ascii="Times New Roman" w:hAnsi="Times New Roman" w:cs="Times New Roman"/>
          <w:sz w:val="28"/>
          <w:szCs w:val="28"/>
          <w:lang w:val="pt-PT"/>
        </w:rPr>
        <w:t>a</w:t>
      </w:r>
      <w:r w:rsidR="0089628F" w:rsidRPr="0089628F">
        <w:rPr>
          <w:rFonts w:ascii="Times New Roman" w:hAnsi="Times New Roman" w:cs="Times New Roman"/>
          <w:sz w:val="28"/>
          <w:szCs w:val="28"/>
          <w:lang w:val="pt-PT"/>
        </w:rPr>
        <w:t xml:space="preserve"> culpa </w:t>
      </w:r>
      <w:r w:rsidR="00010283">
        <w:rPr>
          <w:rFonts w:ascii="Times New Roman" w:hAnsi="Times New Roman" w:cs="Times New Roman"/>
          <w:sz w:val="28"/>
          <w:szCs w:val="28"/>
          <w:lang w:val="pt-PT"/>
        </w:rPr>
        <w:t xml:space="preserve">entre </w:t>
      </w:r>
      <w:r w:rsidR="0089628F" w:rsidRPr="0089628F">
        <w:rPr>
          <w:rFonts w:ascii="Times New Roman" w:hAnsi="Times New Roman" w:cs="Times New Roman"/>
          <w:sz w:val="28"/>
          <w:szCs w:val="28"/>
          <w:lang w:val="pt-PT"/>
        </w:rPr>
        <w:t xml:space="preserve">umas </w:t>
      </w:r>
      <w:r w:rsidR="00010283">
        <w:rPr>
          <w:rFonts w:ascii="Times New Roman" w:hAnsi="Times New Roman" w:cs="Times New Roman"/>
          <w:sz w:val="28"/>
          <w:szCs w:val="28"/>
          <w:lang w:val="pt-PT"/>
        </w:rPr>
        <w:t>e</w:t>
      </w:r>
      <w:r w:rsidR="00010283" w:rsidRPr="0089628F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89628F" w:rsidRPr="0089628F">
        <w:rPr>
          <w:rFonts w:ascii="Times New Roman" w:hAnsi="Times New Roman" w:cs="Times New Roman"/>
          <w:sz w:val="28"/>
          <w:szCs w:val="28"/>
          <w:lang w:val="pt-PT"/>
        </w:rPr>
        <w:t>outras</w:t>
      </w:r>
      <w:r>
        <w:rPr>
          <w:rFonts w:ascii="Times New Roman" w:hAnsi="Times New Roman" w:cs="Times New Roman"/>
          <w:sz w:val="28"/>
          <w:szCs w:val="28"/>
          <w:lang w:val="pt-PT"/>
        </w:rPr>
        <w:t>. Assim sendo, os consumidores devem dar importância à inspecção dos produtos durante a</w:t>
      </w:r>
      <w:r w:rsidR="00E326D3">
        <w:rPr>
          <w:rFonts w:ascii="Times New Roman" w:hAnsi="Times New Roman" w:cs="Times New Roman"/>
          <w:sz w:val="28"/>
          <w:szCs w:val="28"/>
          <w:lang w:val="pt-PT"/>
        </w:rPr>
        <w:t>s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etapa</w:t>
      </w:r>
      <w:r w:rsidR="00E326D3">
        <w:rPr>
          <w:rFonts w:ascii="Times New Roman" w:hAnsi="Times New Roman" w:cs="Times New Roman"/>
          <w:sz w:val="28"/>
          <w:szCs w:val="28"/>
          <w:lang w:val="pt-PT"/>
        </w:rPr>
        <w:t>s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intermédia</w:t>
      </w:r>
      <w:r w:rsidR="00E326D3">
        <w:rPr>
          <w:rFonts w:ascii="Times New Roman" w:hAnsi="Times New Roman" w:cs="Times New Roman"/>
          <w:sz w:val="28"/>
          <w:szCs w:val="28"/>
          <w:lang w:val="pt-PT"/>
        </w:rPr>
        <w:t>s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. Se comprarem um produto de valor elevado ou frágil, convém recorrer a um ponto de recepção de encomendas que preste o serviço de examinação do produto, ou </w:t>
      </w:r>
      <w:r w:rsidR="0089628F">
        <w:rPr>
          <w:rFonts w:ascii="Times New Roman" w:hAnsi="Times New Roman" w:cs="Times New Roman"/>
          <w:sz w:val="28"/>
          <w:szCs w:val="28"/>
          <w:lang w:val="pt-PT"/>
        </w:rPr>
        <w:t xml:space="preserve">adquirir serviços adicionais como o </w:t>
      </w:r>
      <w:r>
        <w:rPr>
          <w:rFonts w:ascii="Times New Roman" w:hAnsi="Times New Roman" w:cs="Times New Roman"/>
          <w:sz w:val="28"/>
          <w:szCs w:val="28"/>
          <w:lang w:val="pt-PT"/>
        </w:rPr>
        <w:t>de “abrir a encomenda e tirar fotografias”.</w:t>
      </w:r>
    </w:p>
    <w:p w14:paraId="089663B0" w14:textId="77777777" w:rsidR="00777DFA" w:rsidRPr="00777DFA" w:rsidRDefault="00777DFA" w:rsidP="00E30882">
      <w:pPr>
        <w:spacing w:beforeLines="50" w:before="120" w:afterLines="50" w:after="120" w:line="400" w:lineRule="atLeast"/>
        <w:ind w:firstLineChars="200" w:firstLine="560"/>
        <w:rPr>
          <w:rFonts w:asciiTheme="minorEastAsia" w:hAnsiTheme="minorEastAsia" w:cs="FangSong_GB2312"/>
          <w:sz w:val="28"/>
          <w:szCs w:val="28"/>
          <w:lang w:val="pt-PT"/>
        </w:rPr>
      </w:pPr>
    </w:p>
    <w:p w14:paraId="55D52F6E" w14:textId="7F79593F" w:rsidR="00FD7F40" w:rsidRPr="002F4847" w:rsidRDefault="00FD7F40" w:rsidP="000D1249">
      <w:pPr>
        <w:widowControl/>
        <w:spacing w:beforeLines="50" w:before="120" w:afterLines="50" w:after="120" w:line="400" w:lineRule="atLeast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pt-PT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. </w:t>
      </w:r>
      <w:r w:rsidR="000239FD">
        <w:rPr>
          <w:rFonts w:ascii="Times New Roman" w:hAnsi="Times New Roman" w:cs="Times New Roman"/>
          <w:b/>
          <w:sz w:val="28"/>
          <w:szCs w:val="28"/>
          <w:lang w:val="pt-PT"/>
        </w:rPr>
        <w:t xml:space="preserve">Em caso de devolução e substituição, convém convencionar previamente 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os custos</w:t>
      </w:r>
      <w:r w:rsidR="000239FD">
        <w:rPr>
          <w:rFonts w:ascii="Times New Roman" w:hAnsi="Times New Roman" w:cs="Times New Roman"/>
          <w:b/>
          <w:sz w:val="28"/>
          <w:szCs w:val="28"/>
          <w:lang w:val="pt-PT"/>
        </w:rPr>
        <w:t xml:space="preserve"> para evitar eventuais litígios e trazer maior confiança</w:t>
      </w:r>
    </w:p>
    <w:p w14:paraId="0943BEF2" w14:textId="7655A173" w:rsidR="002C0C80" w:rsidRPr="00251A5C" w:rsidRDefault="002C0C80" w:rsidP="002C0C80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Comparativamente às compras em lojas físicas, as compras </w:t>
      </w:r>
      <w:r w:rsidRPr="009E77E8">
        <w:rPr>
          <w:rFonts w:ascii="Times New Roman" w:hAnsi="Times New Roman" w:cs="Times New Roman"/>
          <w:i/>
          <w:iCs/>
          <w:sz w:val="28"/>
          <w:szCs w:val="28"/>
          <w:lang w:val="pt-PT"/>
        </w:rPr>
        <w:t>online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originam mais facilmente a solicitação da devolução e substituição dos bens adquiridos. No entanto, após a chegada dos bens comercializados apenas para o Interior da China</w:t>
      </w:r>
      <w:r w:rsidRPr="009E77E8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ao ponto de </w:t>
      </w:r>
      <w:r w:rsidRPr="00C91B3E">
        <w:rPr>
          <w:rFonts w:ascii="Times New Roman" w:hAnsi="Times New Roman" w:cs="Times New Roman"/>
          <w:sz w:val="28"/>
          <w:szCs w:val="28"/>
          <w:lang w:val="pt-PT"/>
        </w:rPr>
        <w:t xml:space="preserve">recepção de encomendas, cabe aos consumidores </w:t>
      </w:r>
      <w:r w:rsidR="00C91B3E" w:rsidRPr="00C91B3E">
        <w:rPr>
          <w:rFonts w:ascii="Times New Roman" w:hAnsi="Times New Roman" w:cs="Times New Roman"/>
          <w:sz w:val="28"/>
          <w:szCs w:val="28"/>
          <w:lang w:val="pt-PT"/>
        </w:rPr>
        <w:t>organizar</w:t>
      </w:r>
      <w:r w:rsidRPr="00C91B3E">
        <w:rPr>
          <w:rFonts w:ascii="Times New Roman" w:hAnsi="Times New Roman" w:cs="Times New Roman"/>
          <w:sz w:val="28"/>
          <w:szCs w:val="28"/>
          <w:lang w:val="pt-PT"/>
        </w:rPr>
        <w:t xml:space="preserve"> a logística subsequente.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Portanto, quer seja a aquisição quer seja a devolução, as despesas de transporte daí resultantes são suportadas pelos consumidores. Mesmo que se trate de devolução do bem defeituoso, </w:t>
      </w:r>
      <w:r w:rsidR="00B6024A">
        <w:rPr>
          <w:rFonts w:ascii="Times New Roman" w:hAnsi="Times New Roman" w:cs="Times New Roman"/>
          <w:sz w:val="28"/>
          <w:szCs w:val="28"/>
          <w:lang w:val="pt-PT"/>
        </w:rPr>
        <w:t xml:space="preserve">é possível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 vendedor recusar </w:t>
      </w:r>
      <w:r w:rsidR="00B6024A">
        <w:rPr>
          <w:rFonts w:ascii="Times New Roman" w:hAnsi="Times New Roman" w:cs="Times New Roman"/>
          <w:sz w:val="28"/>
          <w:szCs w:val="28"/>
          <w:lang w:val="pt-PT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pt-PT"/>
        </w:rPr>
        <w:t>paga</w:t>
      </w:r>
      <w:r w:rsidR="00B6024A">
        <w:rPr>
          <w:rFonts w:ascii="Times New Roman" w:hAnsi="Times New Roman" w:cs="Times New Roman"/>
          <w:sz w:val="28"/>
          <w:szCs w:val="28"/>
          <w:lang w:val="pt-PT"/>
        </w:rPr>
        <w:t>mento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B6024A">
        <w:rPr>
          <w:rFonts w:ascii="Times New Roman" w:hAnsi="Times New Roman" w:cs="Times New Roman"/>
          <w:sz w:val="28"/>
          <w:szCs w:val="28"/>
          <w:lang w:val="pt-PT"/>
        </w:rPr>
        <w:t>d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os </w:t>
      </w:r>
      <w:r w:rsidRPr="00251A5C">
        <w:rPr>
          <w:rFonts w:ascii="Times New Roman" w:hAnsi="Times New Roman" w:cs="Times New Roman"/>
          <w:sz w:val="28"/>
          <w:szCs w:val="28"/>
          <w:lang w:val="pt-PT"/>
        </w:rPr>
        <w:t>custos de transporte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transfronteiriço. Assim sendo, os consumidores devem escolher prioritariamente um produto que seja </w:t>
      </w:r>
      <w:r w:rsidRPr="00C91B3E">
        <w:rPr>
          <w:rFonts w:ascii="Times New Roman" w:hAnsi="Times New Roman" w:cs="Times New Roman"/>
          <w:sz w:val="28"/>
          <w:szCs w:val="28"/>
          <w:lang w:val="pt-PT"/>
        </w:rPr>
        <w:t xml:space="preserve">acompanhado de seguro de custos de transporte pela devolução. Para um produto com </w:t>
      </w:r>
      <w:r w:rsidR="00B6024A">
        <w:rPr>
          <w:rFonts w:ascii="Times New Roman" w:hAnsi="Times New Roman" w:cs="Times New Roman"/>
          <w:sz w:val="28"/>
          <w:szCs w:val="28"/>
          <w:lang w:val="pt-PT"/>
        </w:rPr>
        <w:t>uma alta taxa de devolução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ou de </w:t>
      </w:r>
      <w:r w:rsidR="00D03BCB">
        <w:rPr>
          <w:rFonts w:ascii="Times New Roman" w:hAnsi="Times New Roman" w:cs="Times New Roman"/>
          <w:sz w:val="28"/>
          <w:szCs w:val="28"/>
          <w:lang w:val="pt-PT"/>
        </w:rPr>
        <w:t xml:space="preserve">grande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tamanho, podem negociar-se previamente com o vendedor sobre a </w:t>
      </w:r>
      <w:r>
        <w:rPr>
          <w:rFonts w:ascii="Times New Roman" w:hAnsi="Times New Roman" w:cs="Times New Roman" w:hint="eastAsia"/>
          <w:sz w:val="28"/>
          <w:szCs w:val="28"/>
          <w:lang w:val="pt-PT"/>
        </w:rPr>
        <w:t>p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olítica de reembolso do bem defeituoso, só </w:t>
      </w: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>fazendo compras depois de ser alcançado o consentimento ou cumpridas as expectativas.</w:t>
      </w:r>
    </w:p>
    <w:p w14:paraId="378876D6" w14:textId="77777777" w:rsidR="002C0C80" w:rsidRPr="002C0C80" w:rsidRDefault="002C0C80" w:rsidP="00E30882">
      <w:pPr>
        <w:spacing w:beforeLines="50" w:before="120" w:afterLines="50" w:after="120" w:line="400" w:lineRule="atLeast"/>
        <w:ind w:firstLineChars="200" w:firstLine="560"/>
        <w:rPr>
          <w:rFonts w:asciiTheme="minorEastAsia" w:hAnsiTheme="minorEastAsia" w:cs="FangSong_GB2312"/>
          <w:sz w:val="28"/>
          <w:szCs w:val="28"/>
          <w:lang w:val="pt-PT"/>
        </w:rPr>
      </w:pPr>
    </w:p>
    <w:p w14:paraId="582131DD" w14:textId="4391A5AA" w:rsidR="002C0C80" w:rsidRPr="002F4847" w:rsidRDefault="002C0C80" w:rsidP="000D1249">
      <w:pPr>
        <w:widowControl/>
        <w:spacing w:beforeLines="50" w:before="120" w:afterLines="50" w:after="120" w:line="400" w:lineRule="atLeast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pt-PT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. </w:t>
      </w:r>
      <w:r w:rsidR="00C72571">
        <w:rPr>
          <w:rFonts w:ascii="Times New Roman" w:hAnsi="Times New Roman" w:cs="Times New Roman"/>
          <w:b/>
          <w:sz w:val="28"/>
          <w:szCs w:val="28"/>
          <w:lang w:val="pt-PT"/>
        </w:rPr>
        <w:t>Convém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 informar-se previamente </w:t>
      </w:r>
      <w:r w:rsidR="00C72571">
        <w:rPr>
          <w:rFonts w:ascii="Times New Roman" w:hAnsi="Times New Roman" w:cs="Times New Roman"/>
          <w:b/>
          <w:sz w:val="28"/>
          <w:szCs w:val="28"/>
          <w:lang w:val="pt-PT"/>
        </w:rPr>
        <w:t>das regras de d</w:t>
      </w:r>
      <w:r w:rsidR="00C72571" w:rsidRPr="00D411F2">
        <w:rPr>
          <w:rFonts w:ascii="Times New Roman" w:hAnsi="Times New Roman" w:cs="Times New Roman"/>
          <w:b/>
          <w:sz w:val="28"/>
          <w:szCs w:val="28"/>
          <w:lang w:val="pt-PT"/>
        </w:rPr>
        <w:t>esalfandegamento</w:t>
      </w:r>
      <w:r w:rsidR="00C72571">
        <w:rPr>
          <w:rFonts w:ascii="Times New Roman" w:hAnsi="Times New Roman" w:cs="Times New Roman"/>
          <w:b/>
          <w:sz w:val="28"/>
          <w:szCs w:val="28"/>
          <w:lang w:val="pt-PT"/>
        </w:rPr>
        <w:t xml:space="preserve"> e isenção fiscal 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para evitar prejuízos</w:t>
      </w:r>
    </w:p>
    <w:p w14:paraId="0BC2C00A" w14:textId="2122BCF7" w:rsidR="00737246" w:rsidRDefault="00E46D0D" w:rsidP="002C0C80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Dado que a</w:t>
      </w:r>
      <w:r w:rsidR="002C0C80">
        <w:rPr>
          <w:rFonts w:ascii="Times New Roman" w:hAnsi="Times New Roman" w:cs="Times New Roman"/>
          <w:sz w:val="28"/>
          <w:szCs w:val="28"/>
          <w:lang w:val="pt-PT"/>
        </w:rPr>
        <w:t xml:space="preserve">s compras </w:t>
      </w:r>
      <w:r w:rsidR="002C0C80" w:rsidRPr="000D1249">
        <w:rPr>
          <w:rFonts w:ascii="Times New Roman" w:hAnsi="Times New Roman" w:cs="Times New Roman"/>
          <w:i/>
          <w:iCs/>
          <w:sz w:val="28"/>
          <w:szCs w:val="28"/>
          <w:lang w:val="pt-PT"/>
        </w:rPr>
        <w:t>online</w:t>
      </w:r>
      <w:r w:rsidR="002C0C80">
        <w:rPr>
          <w:rFonts w:ascii="Times New Roman" w:hAnsi="Times New Roman" w:cs="Times New Roman"/>
          <w:sz w:val="28"/>
          <w:szCs w:val="28"/>
          <w:lang w:val="pt-PT"/>
        </w:rPr>
        <w:t xml:space="preserve"> transfronteiriças envolvem a fiscalização </w:t>
      </w:r>
      <w:r w:rsidR="002C0C80" w:rsidRPr="007669B3">
        <w:rPr>
          <w:rFonts w:ascii="Times New Roman" w:hAnsi="Times New Roman" w:cs="Times New Roman"/>
          <w:sz w:val="28"/>
          <w:szCs w:val="28"/>
          <w:lang w:val="pt-PT"/>
        </w:rPr>
        <w:t>alfandegária</w:t>
      </w:r>
      <w:r>
        <w:rPr>
          <w:rFonts w:ascii="Times New Roman" w:hAnsi="Times New Roman" w:cs="Times New Roman"/>
          <w:sz w:val="28"/>
          <w:szCs w:val="28"/>
          <w:lang w:val="pt-PT"/>
        </w:rPr>
        <w:t>,</w:t>
      </w:r>
      <w:r w:rsidR="002C0C80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a</w:t>
      </w:r>
      <w:r w:rsidR="002C0C80">
        <w:rPr>
          <w:rFonts w:ascii="Times New Roman" w:hAnsi="Times New Roman" w:cs="Times New Roman"/>
          <w:sz w:val="28"/>
          <w:szCs w:val="28"/>
          <w:lang w:val="pt-PT"/>
        </w:rPr>
        <w:t xml:space="preserve">o adquirir um produto comercializado apenas para o Interior da China, os consumidores de Hong Kong e de Macau têm de verificar se esse é proibido de exportar ou importar (como alimentos frescos, animais e vegetais vivos, etc.), informando-se do âmbito </w:t>
      </w:r>
      <w:r w:rsidR="00C72571">
        <w:rPr>
          <w:rFonts w:ascii="Times New Roman" w:hAnsi="Times New Roman" w:cs="Times New Roman"/>
          <w:sz w:val="28"/>
          <w:szCs w:val="28"/>
          <w:lang w:val="pt-PT"/>
        </w:rPr>
        <w:t xml:space="preserve">de isenção fiscal </w:t>
      </w:r>
      <w:r w:rsidR="002C0C80">
        <w:rPr>
          <w:rFonts w:ascii="Times New Roman" w:hAnsi="Times New Roman" w:cs="Times New Roman"/>
          <w:sz w:val="28"/>
          <w:szCs w:val="28"/>
          <w:lang w:val="pt-PT"/>
        </w:rPr>
        <w:t xml:space="preserve">e </w:t>
      </w:r>
      <w:r w:rsidR="00C72571">
        <w:rPr>
          <w:rFonts w:ascii="Times New Roman" w:hAnsi="Times New Roman" w:cs="Times New Roman"/>
          <w:sz w:val="28"/>
          <w:szCs w:val="28"/>
          <w:lang w:val="pt-PT"/>
        </w:rPr>
        <w:t xml:space="preserve">da respectiva quantia </w:t>
      </w:r>
      <w:r w:rsidR="002C0C80">
        <w:rPr>
          <w:rFonts w:ascii="Times New Roman" w:hAnsi="Times New Roman" w:cs="Times New Roman"/>
          <w:sz w:val="28"/>
          <w:szCs w:val="28"/>
          <w:lang w:val="pt-PT"/>
        </w:rPr>
        <w:t>com recurso à aplicação móvel “</w:t>
      </w:r>
      <w:r w:rsidR="002C0C80" w:rsidRPr="00F02B62">
        <w:rPr>
          <w:rFonts w:ascii="Times New Roman" w:hAnsi="Times New Roman" w:cs="Times New Roman"/>
          <w:sz w:val="28"/>
          <w:szCs w:val="28"/>
          <w:lang w:val="pt-PT"/>
        </w:rPr>
        <w:t>China Customs</w:t>
      </w:r>
      <w:r w:rsidR="002C0C80">
        <w:rPr>
          <w:rFonts w:ascii="Times New Roman" w:hAnsi="Times New Roman" w:cs="Times New Roman"/>
          <w:sz w:val="28"/>
          <w:szCs w:val="28"/>
          <w:lang w:val="pt-PT"/>
        </w:rPr>
        <w:t xml:space="preserve">”, de maneira a evitar despesas inesperadas ou prejuízos por não se familiarizar com as políticas nessa matéria. </w:t>
      </w:r>
      <w:r w:rsidR="00737246">
        <w:rPr>
          <w:rFonts w:ascii="Times New Roman" w:hAnsi="Times New Roman" w:cs="Times New Roman"/>
          <w:sz w:val="28"/>
          <w:szCs w:val="28"/>
          <w:lang w:val="pt-PT"/>
        </w:rPr>
        <w:t>Os consumidores de Hong Kong podem ainda consultar a página electrónica dos serviços de alfândega de Hong Kong sobre o controlo da importação para mais informações.</w:t>
      </w:r>
    </w:p>
    <w:p w14:paraId="7686EB00" w14:textId="77777777" w:rsidR="002C0C80" w:rsidRPr="002C0C80" w:rsidRDefault="002C0C80" w:rsidP="00E30882">
      <w:pPr>
        <w:spacing w:beforeLines="50" w:before="120" w:afterLines="50" w:after="120" w:line="400" w:lineRule="atLeast"/>
        <w:ind w:firstLineChars="200" w:firstLine="560"/>
        <w:rPr>
          <w:rFonts w:asciiTheme="minorEastAsia" w:hAnsiTheme="minorEastAsia" w:cs="FangSong_GB2312"/>
          <w:sz w:val="28"/>
          <w:szCs w:val="28"/>
          <w:lang w:val="pt-PT"/>
        </w:rPr>
      </w:pPr>
    </w:p>
    <w:p w14:paraId="5D7C153A" w14:textId="77777777" w:rsidR="002C0C80" w:rsidRPr="002F4847" w:rsidRDefault="002C0C80" w:rsidP="000D1249">
      <w:pPr>
        <w:widowControl/>
        <w:spacing w:beforeLines="50" w:before="120" w:afterLines="50" w:after="120" w:line="400" w:lineRule="atLeast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b/>
          <w:sz w:val="28"/>
          <w:szCs w:val="28"/>
          <w:lang w:val="pt-PT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. Não entrem em pânico quando se envolverem em litígio, apresentando reclamação atempada para defender os direitos e interesses</w:t>
      </w:r>
    </w:p>
    <w:p w14:paraId="4A6BE31A" w14:textId="5FBC2E60" w:rsidR="002C0C80" w:rsidRDefault="002C0C80" w:rsidP="002C0C80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sz w:val="28"/>
          <w:szCs w:val="28"/>
          <w:lang w:val="pt-PT"/>
        </w:rPr>
        <w:t>N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o momento de compra </w:t>
      </w:r>
      <w:r w:rsidRPr="000D1249">
        <w:rPr>
          <w:rFonts w:ascii="Times New Roman" w:hAnsi="Times New Roman" w:cs="Times New Roman"/>
          <w:i/>
          <w:iCs/>
          <w:sz w:val="28"/>
          <w:szCs w:val="28"/>
          <w:lang w:val="pt-PT"/>
        </w:rPr>
        <w:t>online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, os consumidores devem guardar bem as provas </w:t>
      </w:r>
      <w:r w:rsidRPr="00C91B3E">
        <w:rPr>
          <w:rFonts w:ascii="Times New Roman" w:hAnsi="Times New Roman" w:cs="Times New Roman"/>
          <w:sz w:val="28"/>
          <w:szCs w:val="28"/>
          <w:lang w:val="pt-PT"/>
        </w:rPr>
        <w:t xml:space="preserve">como as informações </w:t>
      </w:r>
      <w:r w:rsidR="00C91B3E" w:rsidRPr="00C91B3E">
        <w:rPr>
          <w:rFonts w:ascii="Times New Roman" w:hAnsi="Times New Roman" w:cs="Times New Roman"/>
          <w:sz w:val="28"/>
          <w:szCs w:val="28"/>
          <w:lang w:val="pt-PT"/>
        </w:rPr>
        <w:t>de</w:t>
      </w:r>
      <w:r w:rsidRPr="00C91B3E">
        <w:rPr>
          <w:rFonts w:ascii="Times New Roman" w:hAnsi="Times New Roman" w:cs="Times New Roman"/>
          <w:sz w:val="28"/>
          <w:szCs w:val="28"/>
          <w:lang w:val="pt-PT"/>
        </w:rPr>
        <w:t xml:space="preserve"> encomenda e o registo de diálogos com o pessoal do serviço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ao cliente. Caso se envolvam num litígio de consumo, podem pedir primeiro a intervenção da plataforma de comércio </w:t>
      </w:r>
      <w:r w:rsidRPr="000D1249">
        <w:rPr>
          <w:rFonts w:ascii="Times New Roman" w:hAnsi="Times New Roman" w:cs="Times New Roman"/>
          <w:i/>
          <w:iCs/>
          <w:sz w:val="28"/>
          <w:szCs w:val="28"/>
          <w:lang w:val="pt-PT"/>
        </w:rPr>
        <w:t>online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e, se não for possível a resolução do mesmo, reclamar-se junto do Conselho de Consumidores do local onde residem ou através da plataforma </w:t>
      </w:r>
      <w:r w:rsidR="00E46D0D">
        <w:rPr>
          <w:rFonts w:ascii="Times New Roman" w:hAnsi="Times New Roman" w:cs="Times New Roman"/>
          <w:sz w:val="28"/>
          <w:szCs w:val="28"/>
          <w:lang w:val="pt-PT"/>
        </w:rPr>
        <w:t xml:space="preserve">geral </w:t>
      </w:r>
      <w:r w:rsidR="00F37265">
        <w:rPr>
          <w:rFonts w:ascii="Times New Roman" w:hAnsi="Times New Roman" w:cs="Times New Roman"/>
          <w:sz w:val="28"/>
          <w:szCs w:val="28"/>
          <w:lang w:val="pt-PT"/>
        </w:rPr>
        <w:t>de informações para reclamação de consumo de Guangdong (Plataforma de reencaminhamento de conflitos de consumo da Grande Baía Guangdong-Hong Kong-Macau).</w:t>
      </w:r>
    </w:p>
    <w:p w14:paraId="04349799" w14:textId="70A8716A" w:rsidR="002C0C80" w:rsidRPr="002C0C80" w:rsidRDefault="002C0C80" w:rsidP="00E30882">
      <w:pPr>
        <w:spacing w:beforeLines="50" w:before="120" w:afterLines="50" w:after="120" w:line="400" w:lineRule="atLeast"/>
        <w:ind w:firstLineChars="200" w:firstLine="560"/>
        <w:rPr>
          <w:rFonts w:asciiTheme="minorEastAsia" w:hAnsiTheme="minorEastAsia" w:cs="FangSong_GB2312"/>
          <w:sz w:val="28"/>
          <w:szCs w:val="28"/>
          <w:lang w:val="pt-PT"/>
        </w:rPr>
      </w:pPr>
    </w:p>
    <w:p w14:paraId="0913EF7D" w14:textId="77777777" w:rsidR="002C0C80" w:rsidRPr="002C0C80" w:rsidRDefault="002C0C80" w:rsidP="00E30882">
      <w:pPr>
        <w:spacing w:beforeLines="50" w:before="120" w:afterLines="50" w:after="120" w:line="400" w:lineRule="atLeast"/>
        <w:ind w:firstLineChars="200" w:firstLine="560"/>
        <w:rPr>
          <w:rFonts w:ascii="Times New Roman" w:hAnsi="Times New Roman" w:cs="Times New Roman"/>
          <w:sz w:val="28"/>
          <w:szCs w:val="28"/>
          <w:lang w:val="pt-PT"/>
        </w:rPr>
      </w:pPr>
    </w:p>
    <w:p w14:paraId="61D9108E" w14:textId="0EAFACC6" w:rsidR="002C0C80" w:rsidRPr="00C91B3E" w:rsidRDefault="002C0C80" w:rsidP="002C0C80">
      <w:pPr>
        <w:wordWrap w:val="0"/>
        <w:spacing w:beforeLines="100" w:before="240" w:afterLines="100" w:after="24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  <w:lang w:val="pt-PT"/>
        </w:rPr>
      </w:pPr>
      <w:r w:rsidRPr="00C91B3E">
        <w:rPr>
          <w:rFonts w:ascii="Times New Roman" w:hAnsi="Times New Roman" w:cs="Times New Roman" w:hint="eastAsia"/>
          <w:sz w:val="28"/>
          <w:szCs w:val="28"/>
          <w:lang w:val="pt-PT"/>
        </w:rPr>
        <w:t>D</w:t>
      </w:r>
      <w:r w:rsidR="00414B85">
        <w:rPr>
          <w:rFonts w:ascii="Times New Roman" w:hAnsi="Times New Roman" w:cs="Times New Roman"/>
          <w:sz w:val="28"/>
          <w:szCs w:val="28"/>
          <w:lang w:val="pt-PT"/>
        </w:rPr>
        <w:t>ata: 22</w:t>
      </w:r>
      <w:bookmarkStart w:id="0" w:name="_GoBack"/>
      <w:bookmarkEnd w:id="0"/>
      <w:r w:rsidRPr="00C91B3E">
        <w:rPr>
          <w:rFonts w:ascii="Times New Roman" w:hAnsi="Times New Roman" w:cs="Times New Roman"/>
          <w:sz w:val="28"/>
          <w:szCs w:val="28"/>
          <w:lang w:val="pt-PT"/>
        </w:rPr>
        <w:t xml:space="preserve"> de Julho de 2025</w:t>
      </w:r>
    </w:p>
    <w:p w14:paraId="426F2995" w14:textId="3D9B137E" w:rsidR="005D4F16" w:rsidRPr="00C91B3E" w:rsidRDefault="005D4F16" w:rsidP="005632E9">
      <w:pPr>
        <w:spacing w:beforeLines="100" w:before="240" w:afterLines="100" w:after="240" w:line="360" w:lineRule="atLeast"/>
        <w:ind w:right="280" w:firstLineChars="200" w:firstLine="560"/>
        <w:jc w:val="right"/>
        <w:rPr>
          <w:rFonts w:ascii="Times New Roman" w:hAnsi="Times New Roman" w:cs="Times New Roman"/>
          <w:sz w:val="28"/>
          <w:szCs w:val="28"/>
          <w:lang w:val="pt-PT"/>
        </w:rPr>
      </w:pPr>
    </w:p>
    <w:sectPr w:rsidR="005D4F16" w:rsidRPr="00C91B3E" w:rsidSect="008F71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56B6E" w14:textId="77777777" w:rsidR="003F1F1E" w:rsidRDefault="003F1F1E" w:rsidP="003F1F1E">
      <w:r>
        <w:separator/>
      </w:r>
    </w:p>
  </w:endnote>
  <w:endnote w:type="continuationSeparator" w:id="0">
    <w:p w14:paraId="4B165DCC" w14:textId="77777777" w:rsidR="003F1F1E" w:rsidRDefault="003F1F1E" w:rsidP="003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altName w:val="Microsoft YaHei"/>
    <w:charset w:val="86"/>
    <w:family w:val="auto"/>
    <w:pitch w:val="default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4C97D" w14:textId="77777777" w:rsidR="003F1F1E" w:rsidRDefault="003F1F1E" w:rsidP="003F1F1E">
      <w:r>
        <w:separator/>
      </w:r>
    </w:p>
  </w:footnote>
  <w:footnote w:type="continuationSeparator" w:id="0">
    <w:p w14:paraId="59F1E9D1" w14:textId="77777777" w:rsidR="003F1F1E" w:rsidRDefault="003F1F1E" w:rsidP="003F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68"/>
    <w:rsid w:val="00010283"/>
    <w:rsid w:val="000230BA"/>
    <w:rsid w:val="000239FD"/>
    <w:rsid w:val="0003179E"/>
    <w:rsid w:val="000350E2"/>
    <w:rsid w:val="00097018"/>
    <w:rsid w:val="000D1249"/>
    <w:rsid w:val="001125B3"/>
    <w:rsid w:val="00153C98"/>
    <w:rsid w:val="00165807"/>
    <w:rsid w:val="00176B46"/>
    <w:rsid w:val="001919B3"/>
    <w:rsid w:val="00191E86"/>
    <w:rsid w:val="00193F0E"/>
    <w:rsid w:val="001A7D46"/>
    <w:rsid w:val="001E6E33"/>
    <w:rsid w:val="001F0ECE"/>
    <w:rsid w:val="001F4EE0"/>
    <w:rsid w:val="00204AE3"/>
    <w:rsid w:val="00285BC3"/>
    <w:rsid w:val="002A62E0"/>
    <w:rsid w:val="002B339C"/>
    <w:rsid w:val="002C03CA"/>
    <w:rsid w:val="002C0C80"/>
    <w:rsid w:val="002D5AC1"/>
    <w:rsid w:val="002E7BED"/>
    <w:rsid w:val="00307C79"/>
    <w:rsid w:val="003137F4"/>
    <w:rsid w:val="0031792F"/>
    <w:rsid w:val="003251C9"/>
    <w:rsid w:val="00356BB8"/>
    <w:rsid w:val="003675AE"/>
    <w:rsid w:val="003B0EA6"/>
    <w:rsid w:val="003B2791"/>
    <w:rsid w:val="003C3076"/>
    <w:rsid w:val="003D336C"/>
    <w:rsid w:val="003F1F1E"/>
    <w:rsid w:val="00414B85"/>
    <w:rsid w:val="00416892"/>
    <w:rsid w:val="00427C9F"/>
    <w:rsid w:val="004467BC"/>
    <w:rsid w:val="00471028"/>
    <w:rsid w:val="00474E6B"/>
    <w:rsid w:val="00482F84"/>
    <w:rsid w:val="00496B23"/>
    <w:rsid w:val="004B0070"/>
    <w:rsid w:val="004B1BC0"/>
    <w:rsid w:val="00522F64"/>
    <w:rsid w:val="00532A82"/>
    <w:rsid w:val="0053407A"/>
    <w:rsid w:val="00554A24"/>
    <w:rsid w:val="00560053"/>
    <w:rsid w:val="00560665"/>
    <w:rsid w:val="005632E9"/>
    <w:rsid w:val="005843C6"/>
    <w:rsid w:val="005A1E66"/>
    <w:rsid w:val="005A2E20"/>
    <w:rsid w:val="005C3C71"/>
    <w:rsid w:val="005C6220"/>
    <w:rsid w:val="005D3F74"/>
    <w:rsid w:val="005D4F16"/>
    <w:rsid w:val="005F498C"/>
    <w:rsid w:val="00601C26"/>
    <w:rsid w:val="00627F76"/>
    <w:rsid w:val="00631779"/>
    <w:rsid w:val="00686F29"/>
    <w:rsid w:val="006E0934"/>
    <w:rsid w:val="006F3AB0"/>
    <w:rsid w:val="007243C6"/>
    <w:rsid w:val="00735C0B"/>
    <w:rsid w:val="00737246"/>
    <w:rsid w:val="00747738"/>
    <w:rsid w:val="00750A85"/>
    <w:rsid w:val="00777DFA"/>
    <w:rsid w:val="00781B65"/>
    <w:rsid w:val="0078227D"/>
    <w:rsid w:val="007864F7"/>
    <w:rsid w:val="007B5C45"/>
    <w:rsid w:val="007E316B"/>
    <w:rsid w:val="008120C4"/>
    <w:rsid w:val="0084422B"/>
    <w:rsid w:val="008527A7"/>
    <w:rsid w:val="0088698A"/>
    <w:rsid w:val="00891838"/>
    <w:rsid w:val="0089628F"/>
    <w:rsid w:val="008B0B36"/>
    <w:rsid w:val="008C608C"/>
    <w:rsid w:val="008E32C1"/>
    <w:rsid w:val="008E581B"/>
    <w:rsid w:val="008E7752"/>
    <w:rsid w:val="008F71E5"/>
    <w:rsid w:val="009526B9"/>
    <w:rsid w:val="009B4B12"/>
    <w:rsid w:val="009C36B3"/>
    <w:rsid w:val="009D30AD"/>
    <w:rsid w:val="009E6CE3"/>
    <w:rsid w:val="00A03068"/>
    <w:rsid w:val="00A071E4"/>
    <w:rsid w:val="00A16AC9"/>
    <w:rsid w:val="00A32BEF"/>
    <w:rsid w:val="00A44315"/>
    <w:rsid w:val="00A46B7D"/>
    <w:rsid w:val="00A67458"/>
    <w:rsid w:val="00A948BC"/>
    <w:rsid w:val="00AC3289"/>
    <w:rsid w:val="00AE2A79"/>
    <w:rsid w:val="00B02243"/>
    <w:rsid w:val="00B04B16"/>
    <w:rsid w:val="00B33B44"/>
    <w:rsid w:val="00B53757"/>
    <w:rsid w:val="00B55AC5"/>
    <w:rsid w:val="00B6024A"/>
    <w:rsid w:val="00B642CA"/>
    <w:rsid w:val="00B8145A"/>
    <w:rsid w:val="00B90324"/>
    <w:rsid w:val="00BB51CB"/>
    <w:rsid w:val="00BC39AF"/>
    <w:rsid w:val="00BE7931"/>
    <w:rsid w:val="00BF1FC6"/>
    <w:rsid w:val="00C33382"/>
    <w:rsid w:val="00C34723"/>
    <w:rsid w:val="00C44198"/>
    <w:rsid w:val="00C47DCA"/>
    <w:rsid w:val="00C57DEB"/>
    <w:rsid w:val="00C717E4"/>
    <w:rsid w:val="00C72571"/>
    <w:rsid w:val="00C7374F"/>
    <w:rsid w:val="00C91B3E"/>
    <w:rsid w:val="00CA52DD"/>
    <w:rsid w:val="00CC48EF"/>
    <w:rsid w:val="00CC5C1E"/>
    <w:rsid w:val="00CD74D0"/>
    <w:rsid w:val="00CF4C60"/>
    <w:rsid w:val="00CF7293"/>
    <w:rsid w:val="00D02703"/>
    <w:rsid w:val="00D032DB"/>
    <w:rsid w:val="00D03BCB"/>
    <w:rsid w:val="00D256BC"/>
    <w:rsid w:val="00D336AC"/>
    <w:rsid w:val="00D40B85"/>
    <w:rsid w:val="00D4110F"/>
    <w:rsid w:val="00D44B58"/>
    <w:rsid w:val="00D722DA"/>
    <w:rsid w:val="00D72D3C"/>
    <w:rsid w:val="00DA27C6"/>
    <w:rsid w:val="00DC0EEC"/>
    <w:rsid w:val="00DC228F"/>
    <w:rsid w:val="00DE37F4"/>
    <w:rsid w:val="00DE4C65"/>
    <w:rsid w:val="00DE7461"/>
    <w:rsid w:val="00E0281D"/>
    <w:rsid w:val="00E062EC"/>
    <w:rsid w:val="00E078AC"/>
    <w:rsid w:val="00E22DCD"/>
    <w:rsid w:val="00E30882"/>
    <w:rsid w:val="00E326D3"/>
    <w:rsid w:val="00E46D0D"/>
    <w:rsid w:val="00E51FF2"/>
    <w:rsid w:val="00E543C5"/>
    <w:rsid w:val="00E66476"/>
    <w:rsid w:val="00E75F7A"/>
    <w:rsid w:val="00E84761"/>
    <w:rsid w:val="00EA66AB"/>
    <w:rsid w:val="00EB3D68"/>
    <w:rsid w:val="00EC0875"/>
    <w:rsid w:val="00EC4DFC"/>
    <w:rsid w:val="00F00C54"/>
    <w:rsid w:val="00F02A31"/>
    <w:rsid w:val="00F2055B"/>
    <w:rsid w:val="00F355B8"/>
    <w:rsid w:val="00F37265"/>
    <w:rsid w:val="00F3748A"/>
    <w:rsid w:val="00F77B2A"/>
    <w:rsid w:val="00F86547"/>
    <w:rsid w:val="00F97CF9"/>
    <w:rsid w:val="00FA0494"/>
    <w:rsid w:val="00FB2885"/>
    <w:rsid w:val="00FC4EF5"/>
    <w:rsid w:val="00FD7F40"/>
    <w:rsid w:val="00FE1455"/>
    <w:rsid w:val="00FF4B77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DE4B2CC"/>
  <w15:chartTrackingRefBased/>
  <w15:docId w15:val="{7E40945A-4C35-4DEA-9F36-17E79EA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1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F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F1E"/>
    <w:rPr>
      <w:sz w:val="20"/>
      <w:szCs w:val="20"/>
    </w:rPr>
  </w:style>
  <w:style w:type="table" w:styleId="a8">
    <w:name w:val="Table Grid"/>
    <w:basedOn w:val="a1"/>
    <w:uiPriority w:val="39"/>
    <w:rsid w:val="005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6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6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39FD-B9F5-4B35-927B-68E53A7F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kaylie leong</cp:lastModifiedBy>
  <cp:revision>4</cp:revision>
  <cp:lastPrinted>2025-06-09T08:09:00Z</cp:lastPrinted>
  <dcterms:created xsi:type="dcterms:W3CDTF">2025-07-21T06:37:00Z</dcterms:created>
  <dcterms:modified xsi:type="dcterms:W3CDTF">2025-07-21T06:54:00Z</dcterms:modified>
</cp:coreProperties>
</file>